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8079C" w14:textId="77777777" w:rsidR="00A21ADD" w:rsidRDefault="00A70425">
      <w:pPr>
        <w:pStyle w:val="Title"/>
      </w:pPr>
      <w:r>
        <w:t>Course Details</w:t>
      </w:r>
    </w:p>
    <w:p w14:paraId="1FF8079D" w14:textId="77777777" w:rsidR="00A21ADD" w:rsidRDefault="00A21ADD">
      <w:pPr>
        <w:pStyle w:val="standard"/>
      </w:pPr>
    </w:p>
    <w:p w14:paraId="1FF8079E" w14:textId="77777777" w:rsidR="00A21ADD" w:rsidRDefault="00A70425">
      <w:pPr>
        <w:pStyle w:val="Heading10"/>
      </w:pPr>
      <w:r>
        <w:t>COURSE INFORMATION</w:t>
      </w:r>
    </w:p>
    <w:p w14:paraId="1FF8079F" w14:textId="77777777" w:rsidR="00A21ADD" w:rsidRDefault="00A70425">
      <w:pPr>
        <w:pStyle w:val="Heading20"/>
      </w:pPr>
      <w:r>
        <w:t>Course Topic</w:t>
      </w:r>
    </w:p>
    <w:p w14:paraId="1FF807A0" w14:textId="77777777" w:rsidR="00A21ADD" w:rsidRDefault="00A70425">
      <w:pPr>
        <w:pStyle w:val="standard"/>
      </w:pPr>
      <w:r>
        <w:t>Coaching union campaign organizers in campaign cycles</w:t>
      </w:r>
    </w:p>
    <w:p w14:paraId="1FF807A1" w14:textId="77777777" w:rsidR="00A21ADD" w:rsidRDefault="00A70425">
      <w:pPr>
        <w:pStyle w:val="Heading20"/>
      </w:pPr>
      <w:r>
        <w:t>Tone</w:t>
      </w:r>
    </w:p>
    <w:p w14:paraId="1FF807A2" w14:textId="77777777" w:rsidR="00A21ADD" w:rsidRDefault="00A70425">
      <w:pPr>
        <w:pStyle w:val="standard"/>
      </w:pPr>
      <w:r>
        <w:t>supportive, pragmatic, empowering, reflective</w:t>
      </w:r>
    </w:p>
    <w:p w14:paraId="1FF807A3" w14:textId="77777777" w:rsidR="00A21ADD" w:rsidRDefault="00A70425">
      <w:pPr>
        <w:pStyle w:val="Heading20"/>
      </w:pPr>
      <w:r>
        <w:t>Audience</w:t>
      </w:r>
    </w:p>
    <w:p w14:paraId="1FF807A4" w14:textId="77777777" w:rsidR="00A21ADD" w:rsidRDefault="00A70425">
      <w:pPr>
        <w:pStyle w:val="standard"/>
      </w:pPr>
      <w:r>
        <w:t>Union staff and union leaders responsible for coaching public school employee organizers through campaign planning cycles.</w:t>
      </w:r>
    </w:p>
    <w:p w14:paraId="1FF807A5" w14:textId="77777777" w:rsidR="00A21ADD" w:rsidRDefault="00A70425">
      <w:pPr>
        <w:pStyle w:val="Heading20"/>
      </w:pPr>
      <w:r>
        <w:t>Goals</w:t>
      </w:r>
    </w:p>
    <w:p w14:paraId="1FF807A6" w14:textId="77777777" w:rsidR="00A21ADD" w:rsidRDefault="00A70425">
      <w:pPr>
        <w:pStyle w:val="standard"/>
      </w:pPr>
      <w:r>
        <w:t>Coaches will effectively support public school campaign organizers by applying best practices, strong questioning techniques, and structured processes across all stages of the campaign cycle.</w:t>
      </w:r>
    </w:p>
    <w:p w14:paraId="1FF807A7" w14:textId="77777777" w:rsidR="00A21ADD" w:rsidRDefault="00A21ADD">
      <w:pPr>
        <w:pStyle w:val="standard"/>
      </w:pPr>
    </w:p>
    <w:p w14:paraId="1FF807A8" w14:textId="77777777" w:rsidR="00A21ADD" w:rsidRDefault="00A70425">
      <w:pPr>
        <w:pStyle w:val="Heading10"/>
      </w:pPr>
      <w:r>
        <w:t>LEARNING OBJECTIVES</w:t>
      </w:r>
    </w:p>
    <w:p w14:paraId="1FF807A9" w14:textId="77777777" w:rsidR="00A21ADD" w:rsidRDefault="00A70425">
      <w:pPr>
        <w:pStyle w:val="standard-bold"/>
        <w:numPr>
          <w:ilvl w:val="0"/>
          <w:numId w:val="2"/>
        </w:numPr>
      </w:pPr>
      <w:r>
        <w:t>Identify and apply best practices for coaching organizers in campaign planning.</w:t>
      </w:r>
    </w:p>
    <w:p w14:paraId="1FF807AA" w14:textId="77777777" w:rsidR="00A21ADD" w:rsidRDefault="00A70425">
      <w:pPr>
        <w:pStyle w:val="standard-bold"/>
        <w:numPr>
          <w:ilvl w:val="0"/>
          <w:numId w:val="2"/>
        </w:numPr>
      </w:pPr>
      <w:r>
        <w:t>Develop and use effective questions to guide organizers through each stage of the campaign cycle.</w:t>
      </w:r>
    </w:p>
    <w:p w14:paraId="1FF807AB" w14:textId="77777777" w:rsidR="00A21ADD" w:rsidRDefault="00A70425">
      <w:pPr>
        <w:pStyle w:val="standard-bold"/>
        <w:numPr>
          <w:ilvl w:val="0"/>
          <w:numId w:val="2"/>
        </w:numPr>
      </w:pPr>
      <w:r>
        <w:t>Facilitate equity-centered, power-building leadership development among organizing teams.</w:t>
      </w:r>
    </w:p>
    <w:p w14:paraId="1FF807AC" w14:textId="77777777" w:rsidR="00A21ADD" w:rsidRDefault="00A70425">
      <w:pPr>
        <w:pStyle w:val="standard-bold"/>
        <w:numPr>
          <w:ilvl w:val="0"/>
          <w:numId w:val="2"/>
        </w:numPr>
      </w:pPr>
      <w:r>
        <w:t>Support organizers in transitioning from broad goals to clear, winnable campaign actions.</w:t>
      </w:r>
    </w:p>
    <w:p w14:paraId="1FF807AD" w14:textId="77777777" w:rsidR="00A21ADD" w:rsidRDefault="00A70425">
      <w:pPr>
        <w:pStyle w:val="standard-bold"/>
        <w:numPr>
          <w:ilvl w:val="0"/>
          <w:numId w:val="2"/>
        </w:numPr>
      </w:pPr>
      <w:r>
        <w:t>Guide teams in structured reflection, accountability practices, and adaptive strategy development.</w:t>
      </w:r>
    </w:p>
    <w:p w14:paraId="1FF807AE" w14:textId="77777777" w:rsidR="00A21ADD" w:rsidRDefault="00A70425">
      <w:pPr>
        <w:pStyle w:val="Title"/>
        <w:pageBreakBefore/>
      </w:pPr>
      <w:r>
        <w:lastRenderedPageBreak/>
        <w:t>Course Outline</w:t>
      </w:r>
    </w:p>
    <w:p w14:paraId="1FF807AF" w14:textId="77777777" w:rsidR="00A21ADD" w:rsidRDefault="00A21ADD">
      <w:pPr>
        <w:pStyle w:val="standard"/>
      </w:pPr>
    </w:p>
    <w:p w14:paraId="1FF807B0" w14:textId="77777777" w:rsidR="00A21ADD" w:rsidRDefault="00A70425">
      <w:pPr>
        <w:pStyle w:val="Heading10"/>
      </w:pPr>
      <w:r>
        <w:t>OVERVIEW</w:t>
      </w:r>
    </w:p>
    <w:p w14:paraId="1FF807B1" w14:textId="77777777" w:rsidR="00A21ADD" w:rsidRDefault="00A70425">
      <w:pPr>
        <w:pStyle w:val="standard-bold"/>
      </w:pPr>
      <w:r>
        <w:t>Coaching Union Campaign Organizers Through Effective Campaign Cycles</w:t>
      </w:r>
    </w:p>
    <w:p w14:paraId="1FF807B2" w14:textId="77777777" w:rsidR="00A21ADD" w:rsidRDefault="00A70425">
      <w:pPr>
        <w:pStyle w:val="Heading20"/>
      </w:pPr>
      <w:r>
        <w:t>Description</w:t>
      </w:r>
    </w:p>
    <w:p w14:paraId="1FF807B3" w14:textId="77777777" w:rsidR="00A21ADD" w:rsidRDefault="00A70425">
      <w:pPr>
        <w:pStyle w:val="standard"/>
      </w:pPr>
      <w:r>
        <w:t>Are you ready to empower organizers and build winning campaigns in public schools? This course will guide you through the essential practices for coaching campaign organizers, from foundational coaching mindsets to advanced strategies for equity, power-building, and adaptive leadership. You'll learn how to ask the right questions, facilitate structured campaign planning, and support organizers in moving from big ideas to concrete, winnable actions. Through reflective and pragmatic lessons, you'll gain the t</w:t>
      </w:r>
      <w:r>
        <w:t>ools to foster leadership, accountability, and sustained impact in every stage of the campaign cycle.</w:t>
      </w:r>
    </w:p>
    <w:p w14:paraId="1FF807B4" w14:textId="77777777" w:rsidR="00A21ADD" w:rsidRDefault="00A70425">
      <w:pPr>
        <w:pStyle w:val="Heading20"/>
      </w:pPr>
      <w:r>
        <w:t>Lessons</w:t>
      </w:r>
    </w:p>
    <w:p w14:paraId="1FF807B5" w14:textId="77777777" w:rsidR="00A21ADD" w:rsidRDefault="00A70425">
      <w:pPr>
        <w:pStyle w:val="standard-bold"/>
        <w:numPr>
          <w:ilvl w:val="0"/>
          <w:numId w:val="3"/>
        </w:numPr>
        <w:spacing w:after="0"/>
      </w:pPr>
      <w:r>
        <w:t>Foundations of Coaching in Campaign Cycles</w:t>
      </w:r>
    </w:p>
    <w:p w14:paraId="1FF807B6" w14:textId="77777777" w:rsidR="00A21ADD" w:rsidRDefault="00A70425">
      <w:pPr>
        <w:pStyle w:val="standard-bold"/>
        <w:numPr>
          <w:ilvl w:val="0"/>
          <w:numId w:val="3"/>
        </w:numPr>
        <w:spacing w:after="0"/>
      </w:pPr>
      <w:r>
        <w:t>Guiding Organizers Through Campaign Planning Stages</w:t>
      </w:r>
    </w:p>
    <w:p w14:paraId="1FF807B7" w14:textId="77777777" w:rsidR="00A21ADD" w:rsidRDefault="00A70425">
      <w:pPr>
        <w:pStyle w:val="standard-bold"/>
        <w:numPr>
          <w:ilvl w:val="0"/>
          <w:numId w:val="3"/>
        </w:numPr>
        <w:spacing w:after="0"/>
      </w:pPr>
      <w:r>
        <w:t>Centering Equity and Building Power in Campaigns</w:t>
      </w:r>
    </w:p>
    <w:p w14:paraId="1FF807B8" w14:textId="77777777" w:rsidR="00A21ADD" w:rsidRDefault="00A70425">
      <w:pPr>
        <w:pStyle w:val="standard-bold"/>
        <w:numPr>
          <w:ilvl w:val="0"/>
          <w:numId w:val="3"/>
        </w:numPr>
      </w:pPr>
      <w:r>
        <w:t>Reflection, Accountability, and Adaptive Coaching Practices</w:t>
      </w:r>
    </w:p>
    <w:p w14:paraId="1FF807B9" w14:textId="77777777" w:rsidR="00A21ADD" w:rsidRDefault="00A21ADD">
      <w:pPr>
        <w:pStyle w:val="standard"/>
      </w:pPr>
    </w:p>
    <w:p w14:paraId="1FF807BA" w14:textId="77777777" w:rsidR="00A21ADD" w:rsidRDefault="00A70425">
      <w:pPr>
        <w:pStyle w:val="Heading10"/>
      </w:pPr>
      <w:r>
        <w:t>LESSON #1</w:t>
      </w:r>
    </w:p>
    <w:p w14:paraId="1FF807BB" w14:textId="77777777" w:rsidR="00A21ADD" w:rsidRDefault="00A70425">
      <w:pPr>
        <w:pStyle w:val="standard-bold"/>
        <w:keepNext/>
      </w:pPr>
      <w:r>
        <w:t>Foundations of Coaching in Campaign Cycles</w:t>
      </w:r>
    </w:p>
    <w:p w14:paraId="1FF807BC" w14:textId="77777777" w:rsidR="00A21ADD" w:rsidRDefault="00A70425">
      <w:pPr>
        <w:pStyle w:val="Heading20"/>
      </w:pPr>
      <w:r>
        <w:t>Description</w:t>
      </w:r>
    </w:p>
    <w:p w14:paraId="1FF807BD" w14:textId="77777777" w:rsidR="00A21ADD" w:rsidRDefault="00A70425">
      <w:pPr>
        <w:pStyle w:val="standard"/>
      </w:pPr>
      <w:r>
        <w:t>This lesson introduces the core principles and best practices for coaching union organizers through campaign cycles. It covers the shift from directive leadership to coaching, the importance of holding space for organizer decision-making, and the foundational mindset for supporting public school employee campaigns.</w:t>
      </w:r>
    </w:p>
    <w:p w14:paraId="1FF807BE" w14:textId="77777777" w:rsidR="00A21ADD" w:rsidRDefault="00A70425">
      <w:pPr>
        <w:pStyle w:val="Heading20"/>
      </w:pPr>
      <w:r>
        <w:t>Key Topics</w:t>
      </w:r>
    </w:p>
    <w:p w14:paraId="1FF807BF" w14:textId="77777777" w:rsidR="00A21ADD" w:rsidRDefault="00A70425">
      <w:pPr>
        <w:pStyle w:val="standard-ital"/>
      </w:pPr>
      <w:r>
        <w:t>Coaching Versus Directing, Best Practices for Campaign Coaching, Empowering Organizer Decision-Making, Role of the Coach in Campaign Cycles</w:t>
      </w:r>
    </w:p>
    <w:p w14:paraId="1FF807C0" w14:textId="77777777" w:rsidR="00A21ADD" w:rsidRDefault="00A21ADD">
      <w:pPr>
        <w:pStyle w:val="standard"/>
      </w:pPr>
    </w:p>
    <w:p w14:paraId="1FF807C1" w14:textId="77777777" w:rsidR="00A21ADD" w:rsidRDefault="00A70425">
      <w:pPr>
        <w:pStyle w:val="Heading10"/>
      </w:pPr>
      <w:r>
        <w:lastRenderedPageBreak/>
        <w:t>LESSON #2</w:t>
      </w:r>
    </w:p>
    <w:p w14:paraId="1FF807C2" w14:textId="77777777" w:rsidR="00A21ADD" w:rsidRDefault="00A70425">
      <w:pPr>
        <w:pStyle w:val="standard-bold"/>
        <w:keepNext/>
      </w:pPr>
      <w:r>
        <w:t>Guiding Organizers Through Campaign Planning Stages</w:t>
      </w:r>
    </w:p>
    <w:p w14:paraId="1FF807C3" w14:textId="77777777" w:rsidR="00A21ADD" w:rsidRDefault="00A70425">
      <w:pPr>
        <w:pStyle w:val="Heading20"/>
      </w:pPr>
      <w:r>
        <w:t>Description</w:t>
      </w:r>
    </w:p>
    <w:p w14:paraId="1FF807C4" w14:textId="77777777" w:rsidR="00A21ADD" w:rsidRDefault="00A70425">
      <w:pPr>
        <w:pStyle w:val="standard"/>
      </w:pPr>
      <w:r>
        <w:t>This lesson explores the structured processes and strong questioning techniques coaches use to guide organizers through each stage of the campaign cycle. It covers the campaign planning checklist, issue identification, goal setting, and the use of strategic questions to move from broad goals to actionable plans. It also addresses how to support organizers in conducting power analyses, mapping allies and opposition, and developing targeted strategies and tactics, emphasizing the transition from analysis to a</w:t>
      </w:r>
      <w:r>
        <w:t>ction.</w:t>
      </w:r>
    </w:p>
    <w:p w14:paraId="1FF807C5" w14:textId="77777777" w:rsidR="00A21ADD" w:rsidRDefault="00A70425">
      <w:pPr>
        <w:pStyle w:val="Heading20"/>
      </w:pPr>
      <w:r>
        <w:t>Key Topics</w:t>
      </w:r>
    </w:p>
    <w:p w14:paraId="1FF807C6" w14:textId="77777777" w:rsidR="00A21ADD" w:rsidRDefault="00A70425">
      <w:pPr>
        <w:pStyle w:val="standard-ital"/>
      </w:pPr>
      <w:r>
        <w:t>Campaign Cycle Overview, Stage-by-Stage Coaching Processes, Strategic Questioning Techniques, Translating Broad Goals to Winnable Actions, Power Analysis and Mapping</w:t>
      </w:r>
    </w:p>
    <w:p w14:paraId="1FF807C7" w14:textId="77777777" w:rsidR="00A21ADD" w:rsidRDefault="00A21ADD">
      <w:pPr>
        <w:pStyle w:val="standard"/>
      </w:pPr>
    </w:p>
    <w:p w14:paraId="1FF807C8" w14:textId="77777777" w:rsidR="00A21ADD" w:rsidRDefault="00A70425">
      <w:pPr>
        <w:pStyle w:val="Heading10"/>
      </w:pPr>
      <w:r>
        <w:t>LESSON #3</w:t>
      </w:r>
    </w:p>
    <w:p w14:paraId="1FF807C9" w14:textId="77777777" w:rsidR="00A21ADD" w:rsidRDefault="00A70425">
      <w:pPr>
        <w:pStyle w:val="standard-bold"/>
        <w:keepNext/>
      </w:pPr>
      <w:r>
        <w:t>Centering Equity and Building Power in Campaigns</w:t>
      </w:r>
    </w:p>
    <w:p w14:paraId="1FF807CA" w14:textId="77777777" w:rsidR="00A21ADD" w:rsidRDefault="00A70425">
      <w:pPr>
        <w:pStyle w:val="Heading20"/>
      </w:pPr>
      <w:r>
        <w:t>Description</w:t>
      </w:r>
    </w:p>
    <w:p w14:paraId="1FF807CB" w14:textId="77777777" w:rsidR="00A21ADD" w:rsidRDefault="00A70425">
      <w:pPr>
        <w:pStyle w:val="standard"/>
      </w:pPr>
      <w:r>
        <w:t>This lesson delves into equity-centered coaching, supporting coaches in facilitating leadership development and power-building within organizing teams. It addresses how to analyze and address systemic inequities, engage directly impacted stakeholders, and foster inclusive leadership.</w:t>
      </w:r>
    </w:p>
    <w:p w14:paraId="1FF807CC" w14:textId="77777777" w:rsidR="00A21ADD" w:rsidRDefault="00A70425">
      <w:pPr>
        <w:pStyle w:val="Heading20"/>
      </w:pPr>
      <w:r>
        <w:t>Key Topics</w:t>
      </w:r>
    </w:p>
    <w:p w14:paraId="1FF807CD" w14:textId="77777777" w:rsidR="00A21ADD" w:rsidRDefault="00A70425">
      <w:pPr>
        <w:pStyle w:val="standard-ital"/>
      </w:pPr>
      <w:r>
        <w:t>Equity-Centered Campaign Analysis, Facilitating Power-Building Leadership, Engaging Impacted Stakeholders, Leadership Development as a Strategic Objective</w:t>
      </w:r>
    </w:p>
    <w:p w14:paraId="1FF807CE" w14:textId="77777777" w:rsidR="00A21ADD" w:rsidRDefault="00A21ADD">
      <w:pPr>
        <w:pStyle w:val="standard"/>
      </w:pPr>
    </w:p>
    <w:p w14:paraId="1FF807CF" w14:textId="77777777" w:rsidR="00A21ADD" w:rsidRDefault="00A70425">
      <w:pPr>
        <w:pStyle w:val="Heading10"/>
      </w:pPr>
      <w:r>
        <w:t>LESSON #4</w:t>
      </w:r>
    </w:p>
    <w:p w14:paraId="1FF807D0" w14:textId="77777777" w:rsidR="00A21ADD" w:rsidRDefault="00A70425">
      <w:pPr>
        <w:pStyle w:val="standard-bold"/>
        <w:keepNext/>
      </w:pPr>
      <w:r>
        <w:t>Reflection, Accountability, and Adaptive Coaching Practices</w:t>
      </w:r>
    </w:p>
    <w:p w14:paraId="1FF807D1" w14:textId="77777777" w:rsidR="00A21ADD" w:rsidRDefault="00A70425">
      <w:pPr>
        <w:pStyle w:val="Heading20"/>
      </w:pPr>
      <w:r>
        <w:t>Description</w:t>
      </w:r>
    </w:p>
    <w:p w14:paraId="1FF807D2" w14:textId="77777777" w:rsidR="00A21ADD" w:rsidRDefault="00A70425">
      <w:pPr>
        <w:pStyle w:val="standard"/>
      </w:pPr>
      <w:r>
        <w:t>This lesson focuses on guiding teams through structured reflection, accountability, and adaptive strategy development. It introduces debriefing techniques, accountability frameworks, and methods for supporting ongoing learning and adaptation throughout the campaign cycle.</w:t>
      </w:r>
    </w:p>
    <w:p w14:paraId="1FF807D3" w14:textId="77777777" w:rsidR="00A21ADD" w:rsidRDefault="00A70425">
      <w:pPr>
        <w:pStyle w:val="Heading20"/>
      </w:pPr>
      <w:r>
        <w:lastRenderedPageBreak/>
        <w:t>Key Topics</w:t>
      </w:r>
    </w:p>
    <w:p w14:paraId="1FF807D4" w14:textId="77777777" w:rsidR="00A21ADD" w:rsidRDefault="00A70425">
      <w:pPr>
        <w:pStyle w:val="standard-ital"/>
      </w:pPr>
      <w:r>
        <w:t>Structured Reflection and Debriefing, Accountability Practices, Adaptive Strategy Development, Supporting Ongoing Learning</w:t>
      </w:r>
    </w:p>
    <w:p w14:paraId="1FF807D5" w14:textId="77777777" w:rsidR="00A21ADD" w:rsidRDefault="00A70425">
      <w:pPr>
        <w:pStyle w:val="Title"/>
        <w:pageBreakBefore/>
      </w:pPr>
      <w:r>
        <w:lastRenderedPageBreak/>
        <w:t>Source Materials</w:t>
      </w:r>
    </w:p>
    <w:p w14:paraId="1FF807D6" w14:textId="77777777" w:rsidR="00A21ADD" w:rsidRDefault="00A21ADD">
      <w:pPr>
        <w:pStyle w:val="standard"/>
      </w:pPr>
    </w:p>
    <w:p w14:paraId="1FF807D7" w14:textId="77777777" w:rsidR="00A21ADD" w:rsidRDefault="00A70425">
      <w:pPr>
        <w:pStyle w:val="standard"/>
      </w:pPr>
      <w:r>
        <w:t>0 Coaching Campaign Planning.docx</w:t>
      </w:r>
    </w:p>
    <w:p w14:paraId="1FF807D8" w14:textId="77777777" w:rsidR="00A21ADD" w:rsidRDefault="00A70425">
      <w:pPr>
        <w:pStyle w:val="standard"/>
      </w:pPr>
      <w:r>
        <w:t>Coaching Team Leads Through the Campaign Planning Cycle.docx</w:t>
      </w:r>
    </w:p>
    <w:sectPr w:rsidR="00A21ADD">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C455B" w14:textId="77777777" w:rsidR="00A70425" w:rsidRDefault="00A70425">
      <w:r>
        <w:separator/>
      </w:r>
    </w:p>
  </w:endnote>
  <w:endnote w:type="continuationSeparator" w:id="0">
    <w:p w14:paraId="5B8257C0" w14:textId="77777777" w:rsidR="00A70425" w:rsidRDefault="00A704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01756" w14:textId="77777777" w:rsidR="00A70425" w:rsidRDefault="00A70425">
      <w:r>
        <w:separator/>
      </w:r>
    </w:p>
  </w:footnote>
  <w:footnote w:type="continuationSeparator" w:id="0">
    <w:p w14:paraId="437BFF23" w14:textId="77777777" w:rsidR="00A70425" w:rsidRDefault="00A704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807D9" w14:textId="77777777" w:rsidR="00A21ADD" w:rsidRDefault="00A70425">
    <w:pPr>
      <w:pStyle w:val="Header"/>
    </w:pPr>
    <w:r>
      <w:rPr>
        <w:noProof/>
      </w:rPr>
      <w:drawing>
        <wp:anchor distT="0" distB="0" distL="0" distR="0" simplePos="0" relativeHeight="152400" behindDoc="0" locked="0" layoutInCell="1" allowOverlap="1" wp14:anchorId="1FF807DB" wp14:editId="1FF807DC">
          <wp:simplePos x="0" y="0"/>
          <wp:positionH relativeFrom="margin">
            <wp:align>left</wp:align>
          </wp:positionH>
          <wp:positionV relativeFrom="paragraph">
            <wp:align>top</wp:align>
          </wp:positionV>
          <wp:extent cx="904875" cy="152400"/>
          <wp:effectExtent l="0" t="0" r="0" b="0"/>
          <wp:wrapSquare wrapText="bothSides" distT="0" distB="0" distL="0" distR="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904875" cy="152400"/>
                  </a:xfrm>
                  <a:prstGeom prst="rect">
                    <a:avLst/>
                  </a:prstGeom>
                </pic:spPr>
              </pic:pic>
            </a:graphicData>
          </a:graphic>
        </wp:anchor>
      </w:drawing>
    </w:r>
    <w:r>
      <w:t>Created by Ellen Holmes with Articulate AI Assistant</w:t>
    </w:r>
    <w:r>
      <w:br/>
      <w:t>1:26 PM 2/5/26</w:t>
    </w:r>
  </w:p>
  <w:p w14:paraId="1FF807DA" w14:textId="77777777" w:rsidR="00A21ADD" w:rsidRDefault="00A70425">
    <w:r>
      <w:rPr>
        <w:noProof/>
      </w:rPr>
      <w:drawing>
        <wp:anchor distT="0" distB="0" distL="0" distR="0" simplePos="0" relativeHeight="1981200" behindDoc="1" locked="0" layoutInCell="1" allowOverlap="1" wp14:anchorId="1FF807DD" wp14:editId="1FF807DE">
          <wp:simplePos x="0" y="0"/>
          <wp:positionH relativeFrom="page">
            <wp:align>right</wp:align>
          </wp:positionH>
          <wp:positionV relativeFrom="page">
            <wp:align>bottom</wp:align>
          </wp:positionV>
          <wp:extent cx="1981200" cy="1981200"/>
          <wp:effectExtent l="0" t="0" r="0" b="0"/>
          <wp:wrapNone/>
          <wp:docPr id="1329665667" name="Picture 1329665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
                  <a:srcRect/>
                  <a:stretch>
                    <a:fillRect/>
                  </a:stretch>
                </pic:blipFill>
                <pic:spPr bwMode="auto">
                  <a:xfrm>
                    <a:off x="0" y="0"/>
                    <a:ext cx="1981200" cy="19812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84720"/>
    <w:multiLevelType w:val="hybridMultilevel"/>
    <w:tmpl w:val="50C4E1B0"/>
    <w:lvl w:ilvl="0" w:tplc="B9326D5C">
      <w:start w:val="1"/>
      <w:numFmt w:val="bullet"/>
      <w:lvlText w:val="●"/>
      <w:lvlJc w:val="left"/>
      <w:pPr>
        <w:ind w:left="720" w:hanging="360"/>
      </w:pPr>
    </w:lvl>
    <w:lvl w:ilvl="1" w:tplc="FA78791E">
      <w:start w:val="1"/>
      <w:numFmt w:val="bullet"/>
      <w:lvlText w:val="○"/>
      <w:lvlJc w:val="left"/>
      <w:pPr>
        <w:ind w:left="1440" w:hanging="360"/>
      </w:pPr>
    </w:lvl>
    <w:lvl w:ilvl="2" w:tplc="FA04F634">
      <w:start w:val="1"/>
      <w:numFmt w:val="bullet"/>
      <w:lvlText w:val="■"/>
      <w:lvlJc w:val="left"/>
      <w:pPr>
        <w:ind w:left="2160" w:hanging="360"/>
      </w:pPr>
    </w:lvl>
    <w:lvl w:ilvl="3" w:tplc="D7042E00">
      <w:start w:val="1"/>
      <w:numFmt w:val="bullet"/>
      <w:lvlText w:val="●"/>
      <w:lvlJc w:val="left"/>
      <w:pPr>
        <w:ind w:left="2880" w:hanging="360"/>
      </w:pPr>
    </w:lvl>
    <w:lvl w:ilvl="4" w:tplc="1C6CB858">
      <w:start w:val="1"/>
      <w:numFmt w:val="bullet"/>
      <w:lvlText w:val="○"/>
      <w:lvlJc w:val="left"/>
      <w:pPr>
        <w:ind w:left="3600" w:hanging="360"/>
      </w:pPr>
    </w:lvl>
    <w:lvl w:ilvl="5" w:tplc="ADA295E6">
      <w:start w:val="1"/>
      <w:numFmt w:val="bullet"/>
      <w:lvlText w:val="■"/>
      <w:lvlJc w:val="left"/>
      <w:pPr>
        <w:ind w:left="4320" w:hanging="360"/>
      </w:pPr>
    </w:lvl>
    <w:lvl w:ilvl="6" w:tplc="053890F0">
      <w:start w:val="1"/>
      <w:numFmt w:val="bullet"/>
      <w:lvlText w:val="●"/>
      <w:lvlJc w:val="left"/>
      <w:pPr>
        <w:ind w:left="5040" w:hanging="360"/>
      </w:pPr>
    </w:lvl>
    <w:lvl w:ilvl="7" w:tplc="C3B8F47A">
      <w:start w:val="1"/>
      <w:numFmt w:val="bullet"/>
      <w:lvlText w:val="●"/>
      <w:lvlJc w:val="left"/>
      <w:pPr>
        <w:ind w:left="5760" w:hanging="360"/>
      </w:pPr>
    </w:lvl>
    <w:lvl w:ilvl="8" w:tplc="7EBC633A">
      <w:start w:val="1"/>
      <w:numFmt w:val="bullet"/>
      <w:lvlText w:val="●"/>
      <w:lvlJc w:val="left"/>
      <w:pPr>
        <w:ind w:left="6480" w:hanging="360"/>
      </w:pPr>
    </w:lvl>
  </w:abstractNum>
  <w:abstractNum w:abstractNumId="1" w15:restartNumberingAfterBreak="0">
    <w:nsid w:val="1B193A3F"/>
    <w:multiLevelType w:val="hybridMultilevel"/>
    <w:tmpl w:val="7952CCBC"/>
    <w:lvl w:ilvl="0" w:tplc="BC6C1AEA">
      <w:start w:val="1"/>
      <w:numFmt w:val="bullet"/>
      <w:lvlText w:val="•"/>
      <w:lvlJc w:val="left"/>
      <w:pPr>
        <w:spacing w:after="240"/>
        <w:ind w:left="360" w:hanging="360"/>
      </w:pPr>
      <w:rPr>
        <w:rFonts w:ascii="Verdana" w:eastAsia="Verdana" w:hAnsi="Verdana" w:cs="Verdana" w:hint="default"/>
        <w:color w:val="000000"/>
        <w:sz w:val="22"/>
        <w:szCs w:val="22"/>
      </w:rPr>
    </w:lvl>
    <w:lvl w:ilvl="1" w:tplc="DA8CE9F8">
      <w:numFmt w:val="decimal"/>
      <w:lvlText w:val=""/>
      <w:lvlJc w:val="left"/>
    </w:lvl>
    <w:lvl w:ilvl="2" w:tplc="4D5E83BC">
      <w:numFmt w:val="decimal"/>
      <w:lvlText w:val=""/>
      <w:lvlJc w:val="left"/>
    </w:lvl>
    <w:lvl w:ilvl="3" w:tplc="3014D518">
      <w:numFmt w:val="decimal"/>
      <w:lvlText w:val=""/>
      <w:lvlJc w:val="left"/>
    </w:lvl>
    <w:lvl w:ilvl="4" w:tplc="B0287A96">
      <w:numFmt w:val="decimal"/>
      <w:lvlText w:val=""/>
      <w:lvlJc w:val="left"/>
    </w:lvl>
    <w:lvl w:ilvl="5" w:tplc="460A6C3C">
      <w:numFmt w:val="decimal"/>
      <w:lvlText w:val=""/>
      <w:lvlJc w:val="left"/>
    </w:lvl>
    <w:lvl w:ilvl="6" w:tplc="D6A4D960">
      <w:numFmt w:val="decimal"/>
      <w:lvlText w:val=""/>
      <w:lvlJc w:val="left"/>
    </w:lvl>
    <w:lvl w:ilvl="7" w:tplc="FACABDAC">
      <w:numFmt w:val="decimal"/>
      <w:lvlText w:val=""/>
      <w:lvlJc w:val="left"/>
    </w:lvl>
    <w:lvl w:ilvl="8" w:tplc="F2485172">
      <w:numFmt w:val="decimal"/>
      <w:lvlText w:val=""/>
      <w:lvlJc w:val="left"/>
    </w:lvl>
  </w:abstractNum>
  <w:abstractNum w:abstractNumId="2" w15:restartNumberingAfterBreak="0">
    <w:nsid w:val="317F0638"/>
    <w:multiLevelType w:val="hybridMultilevel"/>
    <w:tmpl w:val="85E40A82"/>
    <w:lvl w:ilvl="0" w:tplc="7DD4BFEE">
      <w:start w:val="1"/>
      <w:numFmt w:val="decimal"/>
      <w:lvlText w:val="%1."/>
      <w:lvlJc w:val="left"/>
      <w:pPr>
        <w:ind w:left="360" w:hanging="360"/>
      </w:pPr>
      <w:rPr>
        <w:rFonts w:ascii="Verdana" w:eastAsia="Verdana" w:hAnsi="Verdana" w:cs="Verdana" w:hint="default"/>
        <w:b/>
        <w:bCs/>
        <w:color w:val="0075CF"/>
        <w:sz w:val="22"/>
        <w:szCs w:val="22"/>
      </w:rPr>
    </w:lvl>
    <w:lvl w:ilvl="1" w:tplc="9A788E02">
      <w:numFmt w:val="decimal"/>
      <w:lvlText w:val=""/>
      <w:lvlJc w:val="left"/>
    </w:lvl>
    <w:lvl w:ilvl="2" w:tplc="657E0F60">
      <w:numFmt w:val="decimal"/>
      <w:lvlText w:val=""/>
      <w:lvlJc w:val="left"/>
    </w:lvl>
    <w:lvl w:ilvl="3" w:tplc="25AA5C90">
      <w:numFmt w:val="decimal"/>
      <w:lvlText w:val=""/>
      <w:lvlJc w:val="left"/>
    </w:lvl>
    <w:lvl w:ilvl="4" w:tplc="58B8F390">
      <w:numFmt w:val="decimal"/>
      <w:lvlText w:val=""/>
      <w:lvlJc w:val="left"/>
    </w:lvl>
    <w:lvl w:ilvl="5" w:tplc="8E5CCB7C">
      <w:numFmt w:val="decimal"/>
      <w:lvlText w:val=""/>
      <w:lvlJc w:val="left"/>
    </w:lvl>
    <w:lvl w:ilvl="6" w:tplc="EE583500">
      <w:numFmt w:val="decimal"/>
      <w:lvlText w:val=""/>
      <w:lvlJc w:val="left"/>
    </w:lvl>
    <w:lvl w:ilvl="7" w:tplc="A4ECA0DC">
      <w:numFmt w:val="decimal"/>
      <w:lvlText w:val=""/>
      <w:lvlJc w:val="left"/>
    </w:lvl>
    <w:lvl w:ilvl="8" w:tplc="BB8EB03A">
      <w:numFmt w:val="decimal"/>
      <w:lvlText w:val=""/>
      <w:lvlJc w:val="left"/>
    </w:lvl>
  </w:abstractNum>
  <w:num w:numId="1" w16cid:durableId="314455885">
    <w:abstractNumId w:val="0"/>
    <w:lvlOverride w:ilvl="0">
      <w:startOverride w:val="1"/>
    </w:lvlOverride>
  </w:num>
  <w:num w:numId="2" w16cid:durableId="53547210">
    <w:abstractNumId w:val="1"/>
    <w:lvlOverride w:ilvl="0">
      <w:startOverride w:val="1"/>
    </w:lvlOverride>
  </w:num>
  <w:num w:numId="3" w16cid:durableId="1814642468">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1ADD"/>
    <w:rsid w:val="00031C5D"/>
    <w:rsid w:val="008F3FB0"/>
    <w:rsid w:val="00A21ADD"/>
    <w:rsid w:val="00A70425"/>
    <w:rsid w:val="00BC53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8079C"/>
  <w15:docId w15:val="{68FEB939-ABD1-4742-9A7D-C729184AF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pBdr>
        <w:bottom w:val="single" w:sz="2" w:space="20" w:color="444746"/>
      </w:pBdr>
      <w:spacing w:after="120"/>
      <w:outlineLvl w:val="0"/>
    </w:pPr>
    <w:rPr>
      <w:color w:val="444746"/>
      <w:sz w:val="40"/>
      <w:szCs w:val="40"/>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pPr>
      <w:jc w:val="right"/>
    </w:pPr>
    <w:rPr>
      <w:color w:val="636363"/>
      <w:sz w:val="16"/>
      <w:szCs w:val="16"/>
    </w:rPr>
  </w:style>
  <w:style w:type="paragraph" w:customStyle="1" w:styleId="Heading10">
    <w:name w:val="Heading1"/>
    <w:pPr>
      <w:keepNext/>
      <w:spacing w:after="240"/>
      <w:outlineLvl w:val="1"/>
    </w:pPr>
    <w:rPr>
      <w:b/>
      <w:bCs/>
      <w:caps/>
      <w:color w:val="0075CF"/>
      <w:sz w:val="22"/>
      <w:szCs w:val="22"/>
    </w:rPr>
  </w:style>
  <w:style w:type="paragraph" w:customStyle="1" w:styleId="Heading20">
    <w:name w:val="Heading2"/>
    <w:pPr>
      <w:keepNext/>
      <w:spacing w:after="240"/>
      <w:outlineLvl w:val="2"/>
    </w:pPr>
    <w:rPr>
      <w:b/>
      <w:bCs/>
      <w:color w:val="000000"/>
      <w:sz w:val="22"/>
      <w:szCs w:val="22"/>
    </w:rPr>
  </w:style>
  <w:style w:type="paragraph" w:customStyle="1" w:styleId="standard">
    <w:name w:val="standard"/>
    <w:pPr>
      <w:spacing w:after="240"/>
    </w:pPr>
    <w:rPr>
      <w:color w:val="000000"/>
      <w:sz w:val="22"/>
      <w:szCs w:val="22"/>
    </w:rPr>
  </w:style>
  <w:style w:type="paragraph" w:customStyle="1" w:styleId="standard-bold">
    <w:name w:val="standard-bold"/>
    <w:pPr>
      <w:spacing w:after="240"/>
    </w:pPr>
    <w:rPr>
      <w:b/>
      <w:bCs/>
      <w:color w:val="000000"/>
      <w:sz w:val="22"/>
      <w:szCs w:val="22"/>
    </w:rPr>
  </w:style>
  <w:style w:type="paragraph" w:customStyle="1" w:styleId="standard-ital">
    <w:name w:val="standard-ital"/>
    <w:pPr>
      <w:spacing w:after="240"/>
    </w:pPr>
    <w:rPr>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ction xmlns="05627597-0322-42fc-bc19-1d0dde15c694" xsi:nil="true"/>
    <SharedWithUsers xmlns="5ed5bd0d-9aa5-480d-8c58-25f9f57090c9">
      <UserInfo>
        <DisplayName/>
        <AccountId xsi:nil="true"/>
        <AccountType/>
      </UserInfo>
    </SharedWithUsers>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5934ECAC-B4B9-4EED-9001-D58FFB4AC811}"/>
</file>

<file path=customXml/itemProps2.xml><?xml version="1.0" encoding="utf-8"?>
<ds:datastoreItem xmlns:ds="http://schemas.openxmlformats.org/officeDocument/2006/customXml" ds:itemID="{09267D21-2AAF-4317-9593-905C960D04C3}"/>
</file>

<file path=customXml/itemProps3.xml><?xml version="1.0" encoding="utf-8"?>
<ds:datastoreItem xmlns:ds="http://schemas.openxmlformats.org/officeDocument/2006/customXml" ds:itemID="{FF2D2037-EC74-4FEC-AFDC-8B6C541A967E}"/>
</file>

<file path=docProps/app.xml><?xml version="1.0" encoding="utf-8"?>
<Properties xmlns="http://schemas.openxmlformats.org/officeDocument/2006/extended-properties" xmlns:vt="http://schemas.openxmlformats.org/officeDocument/2006/docPropsVTypes">
  <Template>Normal</Template>
  <TotalTime>14</TotalTime>
  <Pages>5</Pages>
  <Words>554</Words>
  <Characters>3779</Characters>
  <Application>Microsoft Office Word</Application>
  <DocSecurity>0</DocSecurity>
  <Lines>98</Lines>
  <Paragraphs>53</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4285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Holmes, Ellen [NEA]</cp:lastModifiedBy>
  <cp:revision>2</cp:revision>
  <dcterms:created xsi:type="dcterms:W3CDTF">2026-02-05T18:26:00Z</dcterms:created>
  <dcterms:modified xsi:type="dcterms:W3CDTF">2026-02-05T20:11:00Z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0x0101004F15A52AE31FEC4EB9E74AAFCF7B6AD7</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