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26C47" w14:textId="713FD620" w:rsidR="00CF52E0" w:rsidRPr="00CF52E0" w:rsidRDefault="00CF52E0" w:rsidP="00CF52E0">
      <w:r>
        <w:t>We no longer use the</w:t>
      </w:r>
      <w:r w:rsidRPr="00CF52E0">
        <w:t xml:space="preserve"> term "norms" </w:t>
      </w:r>
      <w:r>
        <w:t>and instead use</w:t>
      </w:r>
      <w:r w:rsidRPr="00CF52E0">
        <w:t xml:space="preserve"> "community agreements" to move away from rigid, top-down rules that police behavior. "Norms" often imply a single, dominant standard of how people "should" act, which can exclude marginalized groups. "Agreements" focus on shared, collective choices made by everyone in the room. </w:t>
      </w:r>
      <w:r>
        <w:t xml:space="preserve">Because our time together is limited and because our time as a community of learning will not be ongoing, we kick start this process by having your review the community agreements that the facilitator team and </w:t>
      </w:r>
      <w:proofErr w:type="gramStart"/>
      <w:r>
        <w:t>many  groups</w:t>
      </w:r>
      <w:proofErr w:type="gramEnd"/>
      <w:r>
        <w:t xml:space="preserve"> of participants have sharpened together over time.  Your task is to review them prior to our meeting and look for what can support you as a learner and what might be missing. </w:t>
      </w:r>
      <w:r w:rsidRPr="00CF52E0">
        <w:t xml:space="preserve"> </w:t>
      </w:r>
    </w:p>
    <w:p w14:paraId="0740C014" w14:textId="77777777" w:rsidR="00CF52E0" w:rsidRPr="00CF52E0" w:rsidRDefault="00CF52E0" w:rsidP="00CF52E0"/>
    <w:p w14:paraId="5A158266" w14:textId="77777777" w:rsidR="00CF52E0" w:rsidRPr="00CF52E0" w:rsidRDefault="00CF52E0" w:rsidP="00CF52E0">
      <w:pPr>
        <w:rPr>
          <w:b/>
          <w:bCs/>
        </w:rPr>
      </w:pPr>
      <w:r w:rsidRPr="00CF52E0">
        <w:rPr>
          <w:b/>
          <w:bCs/>
        </w:rPr>
        <w:t xml:space="preserve">Why "Norms" is Replaced </w:t>
      </w:r>
    </w:p>
    <w:p w14:paraId="063879AC" w14:textId="77777777" w:rsidR="00CF52E0" w:rsidRPr="00CF52E0" w:rsidRDefault="00CF52E0" w:rsidP="00CF52E0">
      <w:pPr>
        <w:numPr>
          <w:ilvl w:val="0"/>
          <w:numId w:val="1"/>
        </w:numPr>
      </w:pPr>
      <w:r w:rsidRPr="00CF52E0">
        <w:rPr>
          <w:b/>
          <w:bCs/>
        </w:rPr>
        <w:t>Implied Hierarchy:</w:t>
      </w:r>
      <w:r w:rsidRPr="00CF52E0">
        <w:t xml:space="preserve"> "Norms" act as an invisible standard set by those in power. </w:t>
      </w:r>
    </w:p>
    <w:p w14:paraId="3FA05D34" w14:textId="77777777" w:rsidR="00CF52E0" w:rsidRPr="00CF52E0" w:rsidRDefault="00CF52E0" w:rsidP="00CF52E0">
      <w:pPr>
        <w:numPr>
          <w:ilvl w:val="0"/>
          <w:numId w:val="1"/>
        </w:numPr>
      </w:pPr>
      <w:r w:rsidRPr="00CF52E0">
        <w:rPr>
          <w:b/>
          <w:bCs/>
        </w:rPr>
        <w:t>Shaming and Policing:</w:t>
      </w:r>
      <w:r w:rsidRPr="00CF52E0">
        <w:t xml:space="preserve"> Breaking a norm feels like breaking a law, leading to exclusion or shame. </w:t>
      </w:r>
    </w:p>
    <w:p w14:paraId="062463B1" w14:textId="77777777" w:rsidR="00CF52E0" w:rsidRPr="00CF52E0" w:rsidRDefault="00CF52E0" w:rsidP="00CF52E0">
      <w:pPr>
        <w:numPr>
          <w:ilvl w:val="0"/>
          <w:numId w:val="1"/>
        </w:numPr>
      </w:pPr>
      <w:r w:rsidRPr="00CF52E0">
        <w:rPr>
          <w:b/>
          <w:bCs/>
        </w:rPr>
        <w:t>Erasure of Difference:</w:t>
      </w:r>
      <w:r w:rsidRPr="00CF52E0">
        <w:t xml:space="preserve"> Norms assume a neutral, one-size-fits-all culture that ignores diverse lived experiences. [</w:t>
      </w:r>
      <w:hyperlink r:id="rId8" w:anchor=":~:text=Community%20Health%20and%20White%20Supremacy%20CRNs%20and,mechanism%20to%20address%20social%20issues%2C%20like%20abuse" w:history="1">
        <w:r w:rsidRPr="00CF52E0">
          <w:rPr>
            <w:rStyle w:val="Hyperlink"/>
          </w:rPr>
          <w:t>4</w:t>
        </w:r>
      </w:hyperlink>
      <w:r w:rsidRPr="00CF52E0">
        <w:t xml:space="preserve">, </w:t>
      </w:r>
      <w:hyperlink r:id="rId9" w:anchor=":~:text=Some%20examples%20of%20classroom%20norms%20include:%20*,dealing%20with%20conflict%20*%20Consequences%20for%20unac" w:history="1">
        <w:r w:rsidRPr="00CF52E0">
          <w:rPr>
            <w:rStyle w:val="Hyperlink"/>
          </w:rPr>
          <w:t>6</w:t>
        </w:r>
      </w:hyperlink>
      <w:r w:rsidRPr="00CF52E0">
        <w:t xml:space="preserve">, </w:t>
      </w:r>
      <w:hyperlink r:id="rId10" w:anchor=":~:text=Overview.%20Norms%20and%20Agreements%20or%20a%20Community,co%2Dcreated%20with%20the%20group%2C%20and%20allow%20diverse" w:history="1">
        <w:r w:rsidRPr="00CF52E0">
          <w:rPr>
            <w:rStyle w:val="Hyperlink"/>
          </w:rPr>
          <w:t>7</w:t>
        </w:r>
      </w:hyperlink>
      <w:r w:rsidRPr="00CF52E0">
        <w:t xml:space="preserve">, </w:t>
      </w:r>
      <w:hyperlink r:id="rId11" w:anchor=":~:text=It%20(%20shaming%20)%20denounces%20norm%2Dviolators%20and,their%20behaviour%20fails%20to%20conform%20to%20s" w:history="1">
        <w:r w:rsidRPr="00CF52E0">
          <w:rPr>
            <w:rStyle w:val="Hyperlink"/>
          </w:rPr>
          <w:t>8</w:t>
        </w:r>
      </w:hyperlink>
      <w:r w:rsidRPr="00CF52E0">
        <w:t xml:space="preserve">, </w:t>
      </w:r>
      <w:hyperlink r:id="rId12" w:anchor=":~:text=It%20(%20neutrality%20)%20remains%20an%20idea,who%20have%20the%20power%20to%20exert%20influence" w:history="1">
        <w:r w:rsidRPr="00CF52E0">
          <w:rPr>
            <w:rStyle w:val="Hyperlink"/>
          </w:rPr>
          <w:t>9</w:t>
        </w:r>
      </w:hyperlink>
      <w:r w:rsidRPr="00CF52E0">
        <w:t xml:space="preserve">] </w:t>
      </w:r>
    </w:p>
    <w:p w14:paraId="3D1141F0" w14:textId="77777777" w:rsidR="00CF52E0" w:rsidRPr="00CF52E0" w:rsidRDefault="00CF52E0" w:rsidP="00CF52E0">
      <w:pPr>
        <w:rPr>
          <w:b/>
          <w:bCs/>
        </w:rPr>
      </w:pPr>
      <w:r w:rsidRPr="00CF52E0">
        <w:rPr>
          <w:b/>
          <w:bCs/>
        </w:rPr>
        <w:t xml:space="preserve">Why "Community Agreements" are Used </w:t>
      </w:r>
    </w:p>
    <w:p w14:paraId="5A1B5659" w14:textId="77777777" w:rsidR="00CF52E0" w:rsidRPr="00CF52E0" w:rsidRDefault="00CF52E0" w:rsidP="00CF52E0">
      <w:pPr>
        <w:numPr>
          <w:ilvl w:val="0"/>
          <w:numId w:val="2"/>
        </w:numPr>
      </w:pPr>
      <w:r w:rsidRPr="00CF52E0">
        <w:rPr>
          <w:b/>
          <w:bCs/>
        </w:rPr>
        <w:t>Co-Creation:</w:t>
      </w:r>
      <w:r w:rsidRPr="00CF52E0">
        <w:t xml:space="preserve"> Agreements are built together through discussion, sharing power equally. </w:t>
      </w:r>
    </w:p>
    <w:p w14:paraId="65CC7D14" w14:textId="77777777" w:rsidR="00CF52E0" w:rsidRPr="00CF52E0" w:rsidRDefault="00CF52E0" w:rsidP="00CF52E0">
      <w:pPr>
        <w:numPr>
          <w:ilvl w:val="0"/>
          <w:numId w:val="2"/>
        </w:numPr>
      </w:pPr>
      <w:r w:rsidRPr="00CF52E0">
        <w:rPr>
          <w:b/>
          <w:bCs/>
        </w:rPr>
        <w:t>Shared Accountability:</w:t>
      </w:r>
      <w:r w:rsidRPr="00CF52E0">
        <w:t xml:space="preserve"> Everyone takes responsibility for </w:t>
      </w:r>
      <w:proofErr w:type="gramStart"/>
      <w:r w:rsidRPr="00CF52E0">
        <w:t>the space</w:t>
      </w:r>
      <w:proofErr w:type="gramEnd"/>
      <w:r w:rsidRPr="00CF52E0">
        <w:t xml:space="preserve"> instead of obeying an outside authority. </w:t>
      </w:r>
    </w:p>
    <w:p w14:paraId="70E765EB" w14:textId="77777777" w:rsidR="00CF52E0" w:rsidRPr="00CF52E0" w:rsidRDefault="00CF52E0" w:rsidP="00CF52E0">
      <w:pPr>
        <w:numPr>
          <w:ilvl w:val="0"/>
          <w:numId w:val="2"/>
        </w:numPr>
      </w:pPr>
      <w:r w:rsidRPr="00CF52E0">
        <w:rPr>
          <w:b/>
          <w:bCs/>
        </w:rPr>
        <w:t>Living Documents:</w:t>
      </w:r>
      <w:r w:rsidRPr="00CF52E0">
        <w:t xml:space="preserve"> Agreements change and adapt as the group learns and grows. [</w:t>
      </w:r>
      <w:hyperlink r:id="rId13" w:anchor=":~:text=The%20agreement%20is%20a%20way%20to%20focus,accountability%20to%20ways%20of%20working%20while%20also" w:history="1">
        <w:r w:rsidRPr="00CF52E0">
          <w:rPr>
            <w:rStyle w:val="Hyperlink"/>
          </w:rPr>
          <w:t>1</w:t>
        </w:r>
      </w:hyperlink>
      <w:r w:rsidRPr="00CF52E0">
        <w:t xml:space="preserve">, </w:t>
      </w:r>
      <w:hyperlink r:id="rId14" w:anchor=":~:text=Discussions%20and%20topics%20centered%20around%20race%20and,reason%2C%20it's%20important%20to%20ensure%20that%20partici" w:history="1">
        <w:r w:rsidRPr="00CF52E0">
          <w:rPr>
            <w:rStyle w:val="Hyperlink"/>
          </w:rPr>
          <w:t>10</w:t>
        </w:r>
      </w:hyperlink>
      <w:r w:rsidRPr="00CF52E0">
        <w:t xml:space="preserve">] </w:t>
      </w:r>
    </w:p>
    <w:p w14:paraId="264894B0" w14:textId="49AD2F47" w:rsidR="007A6F95" w:rsidRPr="00CF52E0" w:rsidRDefault="00CF52E0">
      <w:pPr>
        <w:rPr>
          <w:b/>
          <w:bCs/>
        </w:rPr>
      </w:pPr>
      <w:r w:rsidRPr="00CF52E0">
        <w:rPr>
          <w:b/>
          <w:bCs/>
        </w:rPr>
        <w:t>Process for adopting our Community Agreements</w:t>
      </w:r>
    </w:p>
    <w:p w14:paraId="3EFD3D3D" w14:textId="5E87551E" w:rsidR="00CF52E0" w:rsidRPr="00CF52E0" w:rsidRDefault="00CF52E0" w:rsidP="00CF52E0">
      <w:r w:rsidRPr="00CF52E0">
        <w:t>The up</w:t>
      </w:r>
      <w:r>
        <w:t>-</w:t>
      </w:r>
      <w:r w:rsidRPr="00CF52E0">
        <w:t>side-down thum</w:t>
      </w:r>
      <w:r>
        <w:t>b</w:t>
      </w:r>
      <w:r w:rsidRPr="00CF52E0">
        <w:t xml:space="preserve"> process is a quick hand gesture method used in</w:t>
      </w:r>
      <w:r>
        <w:t xml:space="preserve"> large</w:t>
      </w:r>
      <w:r w:rsidRPr="00CF52E0">
        <w:t xml:space="preserve"> group decisions.</w:t>
      </w:r>
      <w:r>
        <w:t xml:space="preserve"> </w:t>
      </w:r>
    </w:p>
    <w:p w14:paraId="24C6EF39" w14:textId="77777777" w:rsidR="00CF52E0" w:rsidRPr="00CF52E0" w:rsidRDefault="00CF52E0" w:rsidP="00CF52E0">
      <w:pPr>
        <w:rPr>
          <w:b/>
          <w:bCs/>
        </w:rPr>
      </w:pPr>
      <w:r w:rsidRPr="00CF52E0">
        <w:rPr>
          <w:b/>
          <w:bCs/>
        </w:rPr>
        <w:t xml:space="preserve">The Three Hand Positions </w:t>
      </w:r>
    </w:p>
    <w:p w14:paraId="7ED43080" w14:textId="77777777" w:rsidR="00CF52E0" w:rsidRPr="00CF52E0" w:rsidRDefault="00CF52E0" w:rsidP="00CF52E0">
      <w:pPr>
        <w:numPr>
          <w:ilvl w:val="0"/>
          <w:numId w:val="3"/>
        </w:numPr>
      </w:pPr>
      <w:r w:rsidRPr="00CF52E0">
        <w:rPr>
          <w:b/>
          <w:bCs/>
        </w:rPr>
        <w:t>Thumbs Up:</w:t>
      </w:r>
      <w:r w:rsidRPr="00CF52E0">
        <w:t xml:space="preserve"> You fully support the plan and want to move forward. </w:t>
      </w:r>
    </w:p>
    <w:p w14:paraId="2D5593B0" w14:textId="77777777" w:rsidR="00CF52E0" w:rsidRPr="00CF52E0" w:rsidRDefault="00CF52E0" w:rsidP="00CF52E0">
      <w:pPr>
        <w:numPr>
          <w:ilvl w:val="0"/>
          <w:numId w:val="3"/>
        </w:numPr>
      </w:pPr>
      <w:r w:rsidRPr="00CF52E0">
        <w:rPr>
          <w:b/>
          <w:bCs/>
        </w:rPr>
        <w:t>Thumbs Sideways:</w:t>
      </w:r>
      <w:r w:rsidRPr="00CF52E0">
        <w:t xml:space="preserve"> You have small doubts, but you can live with the choice and let it pass. </w:t>
      </w:r>
    </w:p>
    <w:p w14:paraId="470FA413" w14:textId="77777777" w:rsidR="00CF52E0" w:rsidRPr="00CF52E0" w:rsidRDefault="00CF52E0" w:rsidP="00CF52E0">
      <w:pPr>
        <w:numPr>
          <w:ilvl w:val="0"/>
          <w:numId w:val="3"/>
        </w:numPr>
      </w:pPr>
      <w:r w:rsidRPr="00CF52E0">
        <w:rPr>
          <w:b/>
          <w:bCs/>
        </w:rPr>
        <w:lastRenderedPageBreak/>
        <w:t>Thumbs Down:</w:t>
      </w:r>
      <w:r w:rsidRPr="00CF52E0">
        <w:t xml:space="preserve"> You disagree or have a major worry. You want to stop and talk more before the group decides. [</w:t>
      </w:r>
      <w:hyperlink r:id="rId15" w:anchor=":~:text=Step%201:%20Introduce%20Protocol%20(3%20minutes)%20Share,the%20option%20before%20us.%20Unlike%20voting%2C%20whe" w:history="1">
        <w:r w:rsidRPr="00CF52E0">
          <w:rPr>
            <w:rStyle w:val="Hyperlink"/>
          </w:rPr>
          <w:t>6</w:t>
        </w:r>
      </w:hyperlink>
      <w:r w:rsidRPr="00CF52E0">
        <w:t xml:space="preserve">, </w:t>
      </w:r>
      <w:hyperlink r:id="rId16" w:anchor=":~:text=A%20Simple%20&amp;%20Effective%20Way%20to%20Reach,how%20to%20do%20that.%20Here's%20a%20co" w:history="1">
        <w:r w:rsidRPr="00CF52E0">
          <w:rPr>
            <w:rStyle w:val="Hyperlink"/>
          </w:rPr>
          <w:t>7</w:t>
        </w:r>
      </w:hyperlink>
      <w:r w:rsidRPr="00CF52E0">
        <w:t xml:space="preserve">, </w:t>
      </w:r>
      <w:hyperlink r:id="rId17" w:anchor=":~:text=Agile%20teams%20use%20a%20variety%20of%20voting,to%20cast%20their%20votes:%20*%20**Thumbs%20up" w:history="1">
        <w:r w:rsidRPr="00CF52E0">
          <w:rPr>
            <w:rStyle w:val="Hyperlink"/>
          </w:rPr>
          <w:t>8</w:t>
        </w:r>
      </w:hyperlink>
      <w:r w:rsidRPr="00CF52E0">
        <w:t xml:space="preserve">] </w:t>
      </w:r>
    </w:p>
    <w:p w14:paraId="3E163E46" w14:textId="77777777" w:rsidR="00CF52E0" w:rsidRPr="00CF52E0" w:rsidRDefault="00CF52E0" w:rsidP="00CF52E0">
      <w:pPr>
        <w:rPr>
          <w:b/>
          <w:bCs/>
        </w:rPr>
      </w:pPr>
      <w:r w:rsidRPr="00CF52E0">
        <w:rPr>
          <w:b/>
          <w:bCs/>
        </w:rPr>
        <w:t xml:space="preserve">How the Process Works </w:t>
      </w:r>
    </w:p>
    <w:p w14:paraId="765FE74E" w14:textId="6C93B74A" w:rsidR="00CF52E0" w:rsidRPr="00CF52E0" w:rsidRDefault="00CF52E0" w:rsidP="00CF52E0">
      <w:pPr>
        <w:numPr>
          <w:ilvl w:val="0"/>
          <w:numId w:val="4"/>
        </w:numPr>
      </w:pPr>
      <w:r w:rsidRPr="00CF52E0">
        <w:rPr>
          <w:b/>
          <w:bCs/>
        </w:rPr>
        <w:t>The Check:</w:t>
      </w:r>
      <w:r w:rsidRPr="00CF52E0">
        <w:t xml:space="preserve"> The leader asks everyone to show a thumb at the same time</w:t>
      </w:r>
      <w:r>
        <w:t xml:space="preserve"> and keep them up until the facilitator has been able to visually scan the whole room</w:t>
      </w:r>
      <w:r w:rsidRPr="00CF52E0">
        <w:t xml:space="preserve">. </w:t>
      </w:r>
    </w:p>
    <w:p w14:paraId="5839A068" w14:textId="77777777" w:rsidR="00CF52E0" w:rsidRPr="00CF52E0" w:rsidRDefault="00CF52E0" w:rsidP="00CF52E0">
      <w:pPr>
        <w:numPr>
          <w:ilvl w:val="0"/>
          <w:numId w:val="4"/>
        </w:numPr>
      </w:pPr>
      <w:r w:rsidRPr="00CF52E0">
        <w:rPr>
          <w:b/>
          <w:bCs/>
        </w:rPr>
        <w:t>The Pause:</w:t>
      </w:r>
      <w:r w:rsidRPr="00CF52E0">
        <w:t xml:space="preserve"> If anyone shows a thumb sideways or down, the group stops. </w:t>
      </w:r>
    </w:p>
    <w:p w14:paraId="35CBA666" w14:textId="4DC38EBE" w:rsidR="00CF52E0" w:rsidRPr="00CF52E0" w:rsidRDefault="00CF52E0" w:rsidP="00CF52E0">
      <w:pPr>
        <w:numPr>
          <w:ilvl w:val="0"/>
          <w:numId w:val="4"/>
        </w:numPr>
      </w:pPr>
      <w:r w:rsidRPr="00CF52E0">
        <w:rPr>
          <w:b/>
          <w:bCs/>
        </w:rPr>
        <w:t xml:space="preserve">The </w:t>
      </w:r>
      <w:r>
        <w:rPr>
          <w:b/>
          <w:bCs/>
        </w:rPr>
        <w:t>Facilitator</w:t>
      </w:r>
      <w:r w:rsidRPr="00CF52E0">
        <w:rPr>
          <w:b/>
          <w:bCs/>
        </w:rPr>
        <w:t>:</w:t>
      </w:r>
      <w:r w:rsidRPr="00CF52E0">
        <w:t xml:space="preserve"> The </w:t>
      </w:r>
      <w:r>
        <w:t>Facilitator</w:t>
      </w:r>
      <w:r w:rsidRPr="00CF52E0">
        <w:t xml:space="preserve"> asks the people with down thumbs to share their exact concerns</w:t>
      </w:r>
      <w:r>
        <w:t xml:space="preserve"> and what they need to discuss to shift at least to sideways</w:t>
      </w:r>
      <w:r w:rsidRPr="00CF52E0">
        <w:t xml:space="preserve">. </w:t>
      </w:r>
    </w:p>
    <w:p w14:paraId="60BB711E" w14:textId="77777777" w:rsidR="00CF52E0" w:rsidRPr="00CF52E0" w:rsidRDefault="00CF52E0" w:rsidP="00CF52E0">
      <w:pPr>
        <w:numPr>
          <w:ilvl w:val="0"/>
          <w:numId w:val="4"/>
        </w:numPr>
      </w:pPr>
      <w:r w:rsidRPr="00CF52E0">
        <w:rPr>
          <w:b/>
          <w:bCs/>
        </w:rPr>
        <w:t>The Fix:</w:t>
      </w:r>
      <w:r w:rsidRPr="00CF52E0">
        <w:t xml:space="preserve"> The group talks about the issues, changes the plan, or answers questions. </w:t>
      </w:r>
    </w:p>
    <w:p w14:paraId="11EF727A" w14:textId="77777777" w:rsidR="00CF52E0" w:rsidRDefault="00CF52E0" w:rsidP="00CF52E0">
      <w:pPr>
        <w:numPr>
          <w:ilvl w:val="0"/>
          <w:numId w:val="4"/>
        </w:numPr>
      </w:pPr>
      <w:r w:rsidRPr="00CF52E0">
        <w:rPr>
          <w:b/>
          <w:bCs/>
        </w:rPr>
        <w:t>The Re-Vote:</w:t>
      </w:r>
      <w:r w:rsidRPr="00CF52E0">
        <w:t xml:space="preserve"> The group votes with their thumbs again. The process repeats until no one shows a </w:t>
      </w:r>
      <w:proofErr w:type="gramStart"/>
      <w:r w:rsidRPr="00CF52E0">
        <w:t>thumbs</w:t>
      </w:r>
      <w:proofErr w:type="gramEnd"/>
      <w:r w:rsidRPr="00CF52E0">
        <w:t>-down. [</w:t>
      </w:r>
      <w:hyperlink r:id="rId18" w:anchor=":~:text=There%20are%20many%20ways%20to%20achieve%20consensus.,a%20decision%2C%20ask%20team%20members%20to%20show" w:history="1">
        <w:r w:rsidRPr="00CF52E0">
          <w:rPr>
            <w:rStyle w:val="Hyperlink"/>
          </w:rPr>
          <w:t>5</w:t>
        </w:r>
      </w:hyperlink>
      <w:r w:rsidRPr="00CF52E0">
        <w:t xml:space="preserve">, </w:t>
      </w:r>
      <w:hyperlink r:id="rId19" w:anchor=":~:text=A%20Simple%20&amp;%20Effective%20Way%20to%20Reach,how%20to%20do%20that.%20Here's%20a%20co" w:history="1">
        <w:r w:rsidRPr="00CF52E0">
          <w:rPr>
            <w:rStyle w:val="Hyperlink"/>
          </w:rPr>
          <w:t>7</w:t>
        </w:r>
      </w:hyperlink>
      <w:r w:rsidRPr="00CF52E0">
        <w:t xml:space="preserve">, </w:t>
      </w:r>
      <w:hyperlink r:id="rId20" w:anchor=":~:text=Thumbs%20Up/YES:%20I%20can%20live%20with%20this,okay%20with%20this%20Image%201:%20Sample%20Cons" w:history="1">
        <w:r w:rsidRPr="00CF52E0">
          <w:rPr>
            <w:rStyle w:val="Hyperlink"/>
          </w:rPr>
          <w:t>9</w:t>
        </w:r>
      </w:hyperlink>
      <w:r w:rsidRPr="00CF52E0">
        <w:t xml:space="preserve">, </w:t>
      </w:r>
      <w:hyperlink r:id="rId21" w:anchor=":~:text=Roman%20voting%20gives%20you%20a%20clear%20visual,to%20the%20side%20means%20neutral%20or%20uns" w:history="1">
        <w:r w:rsidRPr="00CF52E0">
          <w:rPr>
            <w:rStyle w:val="Hyperlink"/>
          </w:rPr>
          <w:t>10</w:t>
        </w:r>
      </w:hyperlink>
      <w:r w:rsidRPr="00CF52E0">
        <w:t xml:space="preserve">, </w:t>
      </w:r>
      <w:hyperlink r:id="rId22" w:history="1">
        <w:r w:rsidRPr="00CF52E0">
          <w:rPr>
            <w:rStyle w:val="Hyperlink"/>
          </w:rPr>
          <w:t>11</w:t>
        </w:r>
      </w:hyperlink>
      <w:r w:rsidRPr="00CF52E0">
        <w:t xml:space="preserve">, </w:t>
      </w:r>
      <w:hyperlink r:id="rId23" w:anchor=":~:text=Consensus%20Voting%20with%20Thumbs%20This%20method%20of,simple%2C%20clear%20and%20helps%20everyone%20be%20i" w:history="1">
        <w:r w:rsidRPr="00CF52E0">
          <w:rPr>
            <w:rStyle w:val="Hyperlink"/>
          </w:rPr>
          <w:t>12</w:t>
        </w:r>
      </w:hyperlink>
      <w:r w:rsidRPr="00CF52E0">
        <w:t xml:space="preserve">] </w:t>
      </w:r>
    </w:p>
    <w:p w14:paraId="0E731A9C" w14:textId="77777777" w:rsidR="004B2137" w:rsidRDefault="004B2137" w:rsidP="004B2137"/>
    <w:p w14:paraId="0EE93221" w14:textId="77777777" w:rsidR="004B2137" w:rsidRPr="001110DA" w:rsidRDefault="004B2137" w:rsidP="004B2137">
      <w:pPr>
        <w:rPr>
          <w:rFonts w:cstheme="minorHAnsi"/>
          <w:b/>
          <w:sz w:val="40"/>
          <w:szCs w:val="40"/>
        </w:rPr>
      </w:pPr>
      <w:r w:rsidRPr="001110DA">
        <w:rPr>
          <w:rFonts w:cstheme="minorHAnsi"/>
          <w:b/>
          <w:noProof/>
          <w:sz w:val="40"/>
          <w:szCs w:val="40"/>
        </w:rPr>
        <w:drawing>
          <wp:anchor distT="0" distB="0" distL="114300" distR="114300" simplePos="0" relativeHeight="251658240" behindDoc="1" locked="0" layoutInCell="1" allowOverlap="1" wp14:anchorId="3B7F1036" wp14:editId="149DAE94">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24">
                      <a:alphaModFix amt="24000"/>
                      <a:duotone>
                        <a:schemeClr val="bg2">
                          <a:shade val="45000"/>
                          <a:satMod val="135000"/>
                        </a:schemeClr>
                        <a:prstClr val="white"/>
                      </a:duotone>
                      <a:extLst>
                        <a:ext uri="{BEBA8EAE-BF5A-486C-A8C5-ECC9F3942E4B}">
                          <a14:imgProps xmlns:a14="http://schemas.microsoft.com/office/drawing/2010/main">
                            <a14:imgLayer r:embed="rId2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Pr="001110DA">
        <w:rPr>
          <w:rFonts w:cstheme="minorHAnsi"/>
          <w:b/>
          <w:sz w:val="40"/>
          <w:szCs w:val="40"/>
        </w:rPr>
        <w:t>Community Agreements for Our Time</w:t>
      </w:r>
      <w:r>
        <w:rPr>
          <w:rFonts w:cstheme="minorHAnsi"/>
          <w:b/>
          <w:sz w:val="40"/>
          <w:szCs w:val="40"/>
        </w:rPr>
        <w:t xml:space="preserve"> 2026-27 Program Year</w:t>
      </w:r>
    </w:p>
    <w:p w14:paraId="2334E6C5" w14:textId="77777777" w:rsidR="004B2137" w:rsidRPr="001110DA" w:rsidRDefault="004B2137" w:rsidP="004B2137">
      <w:pPr>
        <w:rPr>
          <w:rFonts w:ascii="Calibri Light" w:hAnsi="Calibri Light" w:cs="Calibri Light"/>
          <w:sz w:val="22"/>
          <w:szCs w:val="22"/>
        </w:rPr>
      </w:pPr>
    </w:p>
    <w:p w14:paraId="3F85D1AF"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xml:space="preserve">Encourage and Practice Awareness and Self-Knowledge </w:t>
      </w:r>
      <w:r w:rsidRPr="401C0774">
        <w:rPr>
          <w:rFonts w:ascii="Aptos" w:eastAsia="Aptos" w:hAnsi="Aptos" w:cs="Aptos"/>
          <w:sz w:val="22"/>
          <w:szCs w:val="22"/>
        </w:rPr>
        <w:t xml:space="preserve"> </w:t>
      </w:r>
    </w:p>
    <w:p w14:paraId="0BC9F04F"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This work requires self-knowledge and self-awareness. Self-knowledge allows you to see the triggers that can lead to pain and conflict, enabling you to embrace your contradictions and inconsistencies. It allows the space to work on things that you are not happy with about yourself. In turn, self-awareness helps to prevent you from projecting negativity onto other people. By engaging in self-reflection, you contribute to a learning environment rooted in awareness, accountability, and shared </w:t>
      </w:r>
      <w:bookmarkStart w:id="0" w:name="_Int_RyWb7gqA"/>
      <w:r w:rsidRPr="401C0774">
        <w:rPr>
          <w:rFonts w:ascii="Aptos" w:eastAsia="Aptos" w:hAnsi="Aptos" w:cs="Aptos"/>
          <w:sz w:val="22"/>
          <w:szCs w:val="22"/>
        </w:rPr>
        <w:t>purpose</w:t>
      </w:r>
      <w:bookmarkEnd w:id="0"/>
      <w:r w:rsidRPr="401C0774">
        <w:rPr>
          <w:rFonts w:ascii="Aptos" w:eastAsia="Aptos" w:hAnsi="Aptos" w:cs="Aptos"/>
          <w:sz w:val="22"/>
          <w:szCs w:val="22"/>
        </w:rPr>
        <w:t xml:space="preserve">. </w:t>
      </w:r>
    </w:p>
    <w:p w14:paraId="5D14AFFC" w14:textId="77777777" w:rsidR="004B2137" w:rsidRDefault="004B2137" w:rsidP="004B2137">
      <w:pPr>
        <w:shd w:val="clear" w:color="auto" w:fill="FFFFFF" w:themeFill="background1"/>
        <w:rPr>
          <w:rFonts w:ascii="Aptos" w:eastAsia="Aptos" w:hAnsi="Aptos" w:cs="Aptos"/>
          <w:sz w:val="22"/>
          <w:szCs w:val="22"/>
        </w:rPr>
      </w:pPr>
    </w:p>
    <w:p w14:paraId="7DB0339B" w14:textId="77777777" w:rsidR="004B2137" w:rsidRDefault="004B2137" w:rsidP="004B2137">
      <w:pPr>
        <w:shd w:val="clear" w:color="auto" w:fill="FFFFFF" w:themeFill="background1"/>
        <w:rPr>
          <w:rFonts w:ascii="Aptos" w:eastAsia="Aptos" w:hAnsi="Aptos" w:cs="Aptos"/>
          <w:color w:val="7030A0"/>
          <w:sz w:val="22"/>
          <w:szCs w:val="22"/>
        </w:rPr>
      </w:pPr>
      <w:r w:rsidRPr="401C0774">
        <w:rPr>
          <w:rFonts w:ascii="Aptos" w:eastAsia="Aptos" w:hAnsi="Aptos" w:cs="Aptos"/>
          <w:sz w:val="22"/>
          <w:szCs w:val="22"/>
        </w:rPr>
        <w:t xml:space="preserve">Bringing your best self also requires that you have an attitude of curiosity, are willing to deeply explore your perspectives, and remain open to the perspectives and experiences of others. While engaging with peers and content, remember to make space for others to engage as well. </w:t>
      </w:r>
    </w:p>
    <w:p w14:paraId="6BB8B213" w14:textId="77777777" w:rsidR="004B2137" w:rsidRDefault="004B2137" w:rsidP="004B2137">
      <w:pPr>
        <w:shd w:val="clear" w:color="auto" w:fill="FFFFFF" w:themeFill="background1"/>
        <w:rPr>
          <w:rFonts w:ascii="Aptos" w:eastAsia="Aptos" w:hAnsi="Aptos" w:cs="Aptos"/>
          <w:sz w:val="22"/>
          <w:szCs w:val="22"/>
        </w:rPr>
      </w:pPr>
    </w:p>
    <w:p w14:paraId="27946AFB"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Listening for Understanding</w:t>
      </w:r>
      <w:r w:rsidRPr="401C0774">
        <w:rPr>
          <w:rFonts w:ascii="Aptos" w:eastAsia="Aptos" w:hAnsi="Aptos" w:cs="Aptos"/>
          <w:sz w:val="22"/>
          <w:szCs w:val="22"/>
        </w:rPr>
        <w:t xml:space="preserve"> </w:t>
      </w:r>
    </w:p>
    <w:p w14:paraId="03D8DE3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 an active listener. Active listening involves paying full and careful attention to the other person, avoiding interruptions, reflecting your understanding, clarifying information, summarizing the other </w:t>
      </w:r>
      <w:r w:rsidRPr="401C0774">
        <w:rPr>
          <w:rFonts w:ascii="Aptos" w:eastAsia="Aptos" w:hAnsi="Aptos" w:cs="Aptos"/>
          <w:sz w:val="22"/>
          <w:szCs w:val="22"/>
        </w:rPr>
        <w:lastRenderedPageBreak/>
        <w:t xml:space="preserve">person’s perspectives, and/or sharing your own. Remember that we all arrive in this space socialized about what active listening “looks like.” </w:t>
      </w:r>
    </w:p>
    <w:p w14:paraId="31D11B27" w14:textId="77777777" w:rsidR="004B2137" w:rsidRDefault="004B2137" w:rsidP="004B2137">
      <w:pPr>
        <w:shd w:val="clear" w:color="auto" w:fill="FFFFFF" w:themeFill="background1"/>
        <w:rPr>
          <w:rFonts w:ascii="Aptos" w:eastAsia="Aptos" w:hAnsi="Aptos" w:cs="Aptos"/>
          <w:sz w:val="22"/>
          <w:szCs w:val="22"/>
        </w:rPr>
      </w:pPr>
    </w:p>
    <w:p w14:paraId="3E0B6BBA"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 open to how others may be signaling that they are listening and be aware that it might look different than how you were socialized. This can help contribute to the development of a space that is brave enough for us to learn together. Remember that most people need time to </w:t>
      </w:r>
      <w:proofErr w:type="gramStart"/>
      <w:r w:rsidRPr="401C0774">
        <w:rPr>
          <w:rFonts w:ascii="Aptos" w:eastAsia="Aptos" w:hAnsi="Aptos" w:cs="Aptos"/>
          <w:sz w:val="22"/>
          <w:szCs w:val="22"/>
        </w:rPr>
        <w:t>open up</w:t>
      </w:r>
      <w:proofErr w:type="gramEnd"/>
      <w:r w:rsidRPr="401C0774">
        <w:rPr>
          <w:rFonts w:ascii="Aptos" w:eastAsia="Aptos" w:hAnsi="Aptos" w:cs="Aptos"/>
          <w:sz w:val="22"/>
          <w:szCs w:val="22"/>
        </w:rPr>
        <w:t xml:space="preserve"> and might not be willing to immediately share their personal stories, hopes, fears, and/or concerns.  </w:t>
      </w:r>
    </w:p>
    <w:p w14:paraId="5730A020"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7F7BD87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Being Kind and Gracious</w:t>
      </w:r>
      <w:r w:rsidRPr="401C0774">
        <w:rPr>
          <w:rFonts w:ascii="Aptos" w:eastAsia="Aptos" w:hAnsi="Aptos" w:cs="Aptos"/>
          <w:sz w:val="22"/>
          <w:szCs w:val="22"/>
        </w:rPr>
        <w:t xml:space="preserve"> </w:t>
      </w:r>
    </w:p>
    <w:p w14:paraId="4D2D570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Being kind is a vital way of bringing meaning to our own lives and to the lives of others. Kindness is about caring genuinely for those around you, wanting the best for them, and recognizing in them the same wants, needs, aspirations and even fears that you may have. Being kind and generous allows us to communicate better, to be more self-compassionate, and to be a positive force in other people’s lives.</w:t>
      </w:r>
    </w:p>
    <w:p w14:paraId="5F718289" w14:textId="77777777" w:rsidR="004B2137" w:rsidRDefault="004B2137" w:rsidP="004B2137">
      <w:pPr>
        <w:shd w:val="clear" w:color="auto" w:fill="FFFFFF" w:themeFill="background1"/>
        <w:rPr>
          <w:rFonts w:ascii="Aptos" w:eastAsia="Aptos" w:hAnsi="Aptos" w:cs="Aptos"/>
          <w:sz w:val="22"/>
          <w:szCs w:val="22"/>
        </w:rPr>
      </w:pPr>
    </w:p>
    <w:p w14:paraId="20A9A26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Being gracious includes following best practices to protect the health of this learning community (</w:t>
      </w:r>
      <w:proofErr w:type="spellStart"/>
      <w:r w:rsidRPr="401C0774">
        <w:rPr>
          <w:rFonts w:ascii="Aptos" w:eastAsia="Aptos" w:hAnsi="Aptos" w:cs="Aptos"/>
          <w:sz w:val="22"/>
          <w:szCs w:val="22"/>
        </w:rPr>
        <w:t>eg</w:t>
      </w:r>
      <w:proofErr w:type="spellEnd"/>
      <w:r w:rsidRPr="401C0774">
        <w:rPr>
          <w:rFonts w:ascii="Aptos" w:eastAsia="Aptos" w:hAnsi="Aptos" w:cs="Aptos"/>
          <w:sz w:val="22"/>
          <w:szCs w:val="22"/>
        </w:rPr>
        <w:t xml:space="preserve">; avoiding known allergens (scents, foods, etc.), handwashing, using PPE, staying in your room if you are sick).   </w:t>
      </w:r>
    </w:p>
    <w:p w14:paraId="26C91594" w14:textId="77777777" w:rsidR="004B2137" w:rsidRDefault="004B2137" w:rsidP="004B2137">
      <w:pPr>
        <w:shd w:val="clear" w:color="auto" w:fill="FFFFFF" w:themeFill="background1"/>
        <w:rPr>
          <w:rFonts w:ascii="Aptos" w:eastAsia="Aptos" w:hAnsi="Aptos" w:cs="Aptos"/>
          <w:sz w:val="22"/>
          <w:szCs w:val="22"/>
        </w:rPr>
      </w:pPr>
    </w:p>
    <w:p w14:paraId="0B4D8A69"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Being gracious is strongly informed by your own relationship with privilege.  Being gracious and kind means not weaponizing your privilege against people who hold more marginalized identities in our space. Instead, use your privilege to support colleagues whose identities yield less privilege than yours.  We are gracious when we accept and genuinely work to use the pronouns that others ask us to use. Please consider how your own and </w:t>
      </w:r>
      <w:bookmarkStart w:id="1" w:name="_Int_1t7N4qSj"/>
      <w:r w:rsidRPr="401C0774">
        <w:rPr>
          <w:rFonts w:ascii="Aptos" w:eastAsia="Aptos" w:hAnsi="Aptos" w:cs="Aptos"/>
          <w:sz w:val="22"/>
          <w:szCs w:val="22"/>
        </w:rPr>
        <w:t>others’</w:t>
      </w:r>
      <w:bookmarkEnd w:id="1"/>
      <w:r w:rsidRPr="401C0774">
        <w:rPr>
          <w:rFonts w:ascii="Aptos" w:eastAsia="Aptos" w:hAnsi="Aptos" w:cs="Aptos"/>
          <w:sz w:val="22"/>
          <w:szCs w:val="22"/>
        </w:rPr>
        <w:t xml:space="preserve"> intersectionality and relationship with privilege may be showing up when you and others offer grace.  </w:t>
      </w:r>
    </w:p>
    <w:p w14:paraId="38C3A819" w14:textId="77777777" w:rsidR="004B2137" w:rsidRDefault="004B2137" w:rsidP="004B2137">
      <w:pPr>
        <w:shd w:val="clear" w:color="auto" w:fill="FFFFFF" w:themeFill="background1"/>
        <w:rPr>
          <w:rFonts w:ascii="Aptos" w:eastAsia="Aptos" w:hAnsi="Aptos" w:cs="Aptos"/>
          <w:sz w:val="22"/>
          <w:szCs w:val="22"/>
        </w:rPr>
      </w:pPr>
    </w:p>
    <w:p w14:paraId="4514ABA3"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As you take your lessons with you when you leave, part of being gracious is keeping folks’ personal stories within the learning space</w:t>
      </w:r>
      <w:r w:rsidRPr="401C0774">
        <w:rPr>
          <w:rFonts w:ascii="Aptos" w:eastAsia="Aptos" w:hAnsi="Aptos" w:cs="Aptos"/>
          <w:color w:val="FF0000"/>
          <w:sz w:val="22"/>
          <w:szCs w:val="22"/>
        </w:rPr>
        <w:t>.</w:t>
      </w:r>
    </w:p>
    <w:p w14:paraId="45095CEA" w14:textId="77777777" w:rsidR="004B2137" w:rsidRDefault="004B2137" w:rsidP="004B2137">
      <w:pPr>
        <w:shd w:val="clear" w:color="auto" w:fill="FFFFFF" w:themeFill="background1"/>
        <w:rPr>
          <w:rFonts w:ascii="Aptos" w:eastAsia="Aptos" w:hAnsi="Aptos" w:cs="Aptos"/>
          <w:sz w:val="22"/>
          <w:szCs w:val="22"/>
        </w:rPr>
      </w:pPr>
    </w:p>
    <w:p w14:paraId="133E488A"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Staying Engaged</w:t>
      </w:r>
      <w:r w:rsidRPr="401C0774">
        <w:rPr>
          <w:rFonts w:ascii="Aptos" w:eastAsia="Aptos" w:hAnsi="Aptos" w:cs="Aptos"/>
          <w:sz w:val="22"/>
          <w:szCs w:val="22"/>
        </w:rPr>
        <w:t xml:space="preserve"> </w:t>
      </w:r>
    </w:p>
    <w:p w14:paraId="57718D3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Staying engaged requires you to be fully involved in the conversation. Staying engaged means that you are listening with curiosity and are willing to deepen your understanding. Staying engaged might also require you to sustain the conversation even when it gets uncomfortable or diverted. By actively staying engaged, you are helping to contribute to the creation of a space that is brave </w:t>
      </w:r>
      <w:r w:rsidRPr="401C0774">
        <w:rPr>
          <w:rFonts w:ascii="Aptos" w:eastAsia="Aptos" w:hAnsi="Aptos" w:cs="Aptos"/>
          <w:sz w:val="22"/>
          <w:szCs w:val="22"/>
        </w:rPr>
        <w:lastRenderedPageBreak/>
        <w:t xml:space="preserve">enough to allow for learning. This means a commitment to keeping your electronic communications to a minimum with people </w:t>
      </w:r>
      <w:bookmarkStart w:id="2" w:name="_Int_fu25RMPR"/>
      <w:proofErr w:type="gramStart"/>
      <w:r w:rsidRPr="401C0774">
        <w:rPr>
          <w:rFonts w:ascii="Aptos" w:eastAsia="Aptos" w:hAnsi="Aptos" w:cs="Aptos"/>
          <w:sz w:val="22"/>
          <w:szCs w:val="22"/>
        </w:rPr>
        <w:t>not present</w:t>
      </w:r>
      <w:bookmarkEnd w:id="2"/>
      <w:proofErr w:type="gramEnd"/>
      <w:r w:rsidRPr="401C0774">
        <w:rPr>
          <w:rFonts w:ascii="Aptos" w:eastAsia="Aptos" w:hAnsi="Aptos" w:cs="Aptos"/>
          <w:sz w:val="22"/>
          <w:szCs w:val="22"/>
        </w:rPr>
        <w:t xml:space="preserve"> in this learning community.  This also means being present for all portions of the learning agenda. If needs (personal or professional) external to the learning experience arise, you commit to moving away from the learning space, addressing the emergency, and then returning ready to re-engage. </w:t>
      </w:r>
    </w:p>
    <w:p w14:paraId="3A42F123"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35299F1C"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Staying Curious and Suspending Judgement</w:t>
      </w:r>
      <w:r w:rsidRPr="401C0774">
        <w:rPr>
          <w:rFonts w:ascii="Aptos" w:eastAsia="Aptos" w:hAnsi="Aptos" w:cs="Aptos"/>
          <w:sz w:val="22"/>
          <w:szCs w:val="22"/>
        </w:rPr>
        <w:t xml:space="preserve"> </w:t>
      </w:r>
    </w:p>
    <w:p w14:paraId="18C9D562"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Staying curious and suspending judgement includes being receptive to the perspective of others. You enter this space carrying lived experiences, emotions, and internal narratives that shape how you hear, interpret, and respond. These responses may be influenced by bias—conscious or unconscious—as well as thoughts or feelings not directly connected to what is happening in the room.</w:t>
      </w:r>
    </w:p>
    <w:p w14:paraId="120BCCC6" w14:textId="77777777" w:rsidR="004B2137" w:rsidRDefault="004B2137" w:rsidP="004B2137">
      <w:pPr>
        <w:shd w:val="clear" w:color="auto" w:fill="FFFFFF" w:themeFill="background1"/>
        <w:rPr>
          <w:rFonts w:ascii="Aptos" w:eastAsia="Aptos" w:hAnsi="Aptos" w:cs="Aptos"/>
          <w:sz w:val="22"/>
          <w:szCs w:val="22"/>
        </w:rPr>
      </w:pPr>
    </w:p>
    <w:p w14:paraId="69BB75EF"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You can suspend judgment by </w:t>
      </w:r>
      <w:bookmarkStart w:id="3" w:name="_Int_0Va5GVaP"/>
      <w:r w:rsidRPr="401C0774">
        <w:rPr>
          <w:rFonts w:ascii="Aptos" w:eastAsia="Aptos" w:hAnsi="Aptos" w:cs="Aptos"/>
          <w:sz w:val="22"/>
          <w:szCs w:val="22"/>
        </w:rPr>
        <w:t>reflecting on</w:t>
      </w:r>
      <w:bookmarkEnd w:id="3"/>
      <w:r w:rsidRPr="401C0774">
        <w:rPr>
          <w:rFonts w:ascii="Aptos" w:eastAsia="Aptos" w:hAnsi="Aptos" w:cs="Aptos"/>
          <w:sz w:val="22"/>
          <w:szCs w:val="22"/>
        </w:rPr>
        <w:t xml:space="preserve"> preconceived notions and listening to everything someone has to say before responding. When something feels uncomfortable, personal, or activating, you commit to pausing, noticing, and approaching your reactions with curiosity rather than judgment. Rather than disengaging, withdrawing, or assuming harm or targeting, ask yourself </w:t>
      </w:r>
      <w:r w:rsidRPr="401C0774">
        <w:rPr>
          <w:rFonts w:ascii="Aptos" w:eastAsia="Aptos" w:hAnsi="Aptos" w:cs="Aptos"/>
          <w:i/>
          <w:iCs/>
          <w:sz w:val="22"/>
          <w:szCs w:val="22"/>
        </w:rPr>
        <w:t>What might be influencing my reaction right now?</w:t>
      </w:r>
      <w:r w:rsidRPr="401C0774">
        <w:rPr>
          <w:rFonts w:ascii="Aptos" w:eastAsia="Aptos" w:hAnsi="Aptos" w:cs="Aptos"/>
          <w:sz w:val="22"/>
          <w:szCs w:val="22"/>
        </w:rPr>
        <w:t xml:space="preserve"> </w:t>
      </w:r>
    </w:p>
    <w:p w14:paraId="57A83FE5" w14:textId="77777777" w:rsidR="004B2137" w:rsidRDefault="004B2137" w:rsidP="004B2137">
      <w:pPr>
        <w:shd w:val="clear" w:color="auto" w:fill="FFFFFF" w:themeFill="background1"/>
        <w:rPr>
          <w:rFonts w:ascii="Aptos" w:eastAsia="Aptos" w:hAnsi="Aptos" w:cs="Aptos"/>
          <w:sz w:val="22"/>
          <w:szCs w:val="22"/>
        </w:rPr>
      </w:pPr>
    </w:p>
    <w:p w14:paraId="6CA80782"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Most importantly, suspending judgment also means listening to what the speaker has to say for understanding, not only </w:t>
      </w:r>
      <w:proofErr w:type="gramStart"/>
      <w:r w:rsidRPr="401C0774">
        <w:rPr>
          <w:rFonts w:ascii="Aptos" w:eastAsia="Aptos" w:hAnsi="Aptos" w:cs="Aptos"/>
          <w:sz w:val="22"/>
          <w:szCs w:val="22"/>
        </w:rPr>
        <w:t>to determine</w:t>
      </w:r>
      <w:proofErr w:type="gramEnd"/>
      <w:r w:rsidRPr="401C0774">
        <w:rPr>
          <w:rFonts w:ascii="Aptos" w:eastAsia="Aptos" w:hAnsi="Aptos" w:cs="Aptos"/>
          <w:sz w:val="22"/>
          <w:szCs w:val="22"/>
        </w:rPr>
        <w:t xml:space="preserve"> whether the speaker is right or wrong.  This means that you recognize that we all make mistakes and that we have the capacity to grow.  You recognize that growth requires attention not only to the words you are hearing, but to how you are receiving them. </w:t>
      </w:r>
    </w:p>
    <w:p w14:paraId="053505D5"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5E2D7CBE"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Saying “I”- Tell Your Truth</w:t>
      </w:r>
      <w:r w:rsidRPr="401C0774">
        <w:rPr>
          <w:rFonts w:ascii="Aptos" w:eastAsia="Aptos" w:hAnsi="Aptos" w:cs="Aptos"/>
          <w:sz w:val="22"/>
          <w:szCs w:val="22"/>
        </w:rPr>
        <w:t xml:space="preserve"> </w:t>
      </w:r>
    </w:p>
    <w:p w14:paraId="12175FFD"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Speaking your truth in authentic and courageous conversations about race and other issues where experiences/perspectives may differ widely from yours requires a willingness to take risks. It means that you will be honest and candid about your own thoughts, feelings, experiences, and opinions and not just say what you perceive others want to hear. If you are </w:t>
      </w:r>
      <w:bookmarkStart w:id="4" w:name="_Int_yveFcmyj"/>
      <w:proofErr w:type="gramStart"/>
      <w:r w:rsidRPr="401C0774">
        <w:rPr>
          <w:rFonts w:ascii="Aptos" w:eastAsia="Aptos" w:hAnsi="Aptos" w:cs="Aptos"/>
          <w:sz w:val="22"/>
          <w:szCs w:val="22"/>
        </w:rPr>
        <w:t>thinking</w:t>
      </w:r>
      <w:bookmarkEnd w:id="4"/>
      <w:proofErr w:type="gramEnd"/>
      <w:r w:rsidRPr="401C0774">
        <w:rPr>
          <w:rFonts w:ascii="Aptos" w:eastAsia="Aptos" w:hAnsi="Aptos" w:cs="Aptos"/>
          <w:sz w:val="22"/>
          <w:szCs w:val="22"/>
        </w:rPr>
        <w:t xml:space="preserve"> it, maybe, just say it instead of waiting to add it to the feedback. Speaking your truth will require you to speak from the “first person” and use “I” statements.  </w:t>
      </w:r>
    </w:p>
    <w:p w14:paraId="25CA3405"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593A65C1"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Leaning into Discomfort</w:t>
      </w:r>
    </w:p>
    <w:p w14:paraId="305E70F6"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Leaning into discomfort will require you to let go of understandings and stereotypes that you may be holding </w:t>
      </w:r>
      <w:proofErr w:type="gramStart"/>
      <w:r w:rsidRPr="401C0774">
        <w:rPr>
          <w:rFonts w:ascii="Aptos" w:eastAsia="Aptos" w:hAnsi="Aptos" w:cs="Aptos"/>
          <w:sz w:val="22"/>
          <w:szCs w:val="22"/>
        </w:rPr>
        <w:t>in order to</w:t>
      </w:r>
      <w:proofErr w:type="gramEnd"/>
      <w:r w:rsidRPr="401C0774">
        <w:rPr>
          <w:rFonts w:ascii="Aptos" w:eastAsia="Aptos" w:hAnsi="Aptos" w:cs="Aptos"/>
          <w:sz w:val="22"/>
          <w:szCs w:val="22"/>
        </w:rPr>
        <w:t xml:space="preserve"> move forward. You take responsibility for practicing self-regulation, staying </w:t>
      </w:r>
      <w:r w:rsidRPr="401C0774">
        <w:rPr>
          <w:rFonts w:ascii="Aptos" w:eastAsia="Aptos" w:hAnsi="Aptos" w:cs="Aptos"/>
          <w:sz w:val="22"/>
          <w:szCs w:val="22"/>
        </w:rPr>
        <w:lastRenderedPageBreak/>
        <w:t xml:space="preserve">present, looking for opportunities to take a risk, and seeking understanding. Remain open long enough to fully hear both what is being said, as well as how it is being communicated. </w:t>
      </w:r>
    </w:p>
    <w:p w14:paraId="32204AA9" w14:textId="77777777" w:rsidR="004B2137" w:rsidRDefault="004B2137" w:rsidP="004B2137">
      <w:pPr>
        <w:shd w:val="clear" w:color="auto" w:fill="FFFFFF" w:themeFill="background1"/>
        <w:rPr>
          <w:rFonts w:ascii="Aptos" w:eastAsia="Aptos" w:hAnsi="Aptos" w:cs="Aptos"/>
          <w:sz w:val="22"/>
          <w:szCs w:val="22"/>
        </w:rPr>
      </w:pPr>
    </w:p>
    <w:p w14:paraId="1BDCFF3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Leaning into discomfort may require you to sit through moments of embarrassment, confusion, anxiety, and/or fear.  Leaning in can be highly informed by your own relationship with privilege and can be weaponized against people who hold more marginalized identities in our space.  There are times when recognizing your privilege means moving back, and making space for those who are too often marginalized. </w:t>
      </w:r>
    </w:p>
    <w:p w14:paraId="08371E26" w14:textId="77777777" w:rsidR="004B2137" w:rsidRDefault="004B2137" w:rsidP="004B2137">
      <w:pPr>
        <w:shd w:val="clear" w:color="auto" w:fill="FFFFFF" w:themeFill="background1"/>
        <w:rPr>
          <w:rFonts w:ascii="Aptos" w:eastAsia="Aptos" w:hAnsi="Aptos" w:cs="Aptos"/>
          <w:sz w:val="22"/>
          <w:szCs w:val="22"/>
        </w:rPr>
      </w:pPr>
    </w:p>
    <w:p w14:paraId="458C4A62" w14:textId="77777777" w:rsidR="004B2137" w:rsidRDefault="004B2137" w:rsidP="004B2137">
      <w:pPr>
        <w:rPr>
          <w:rFonts w:ascii="Aptos" w:eastAsia="Aptos" w:hAnsi="Aptos" w:cs="Aptos"/>
          <w:color w:val="000000" w:themeColor="text1"/>
          <w:sz w:val="22"/>
          <w:szCs w:val="22"/>
        </w:rPr>
      </w:pPr>
      <w:r w:rsidRPr="401C0774">
        <w:rPr>
          <w:rFonts w:ascii="Aptos" w:eastAsia="Aptos" w:hAnsi="Aptos" w:cs="Aptos"/>
          <w:b/>
          <w:bCs/>
          <w:color w:val="000000" w:themeColor="text1"/>
          <w:sz w:val="22"/>
          <w:szCs w:val="22"/>
        </w:rPr>
        <w:t>Expecting Non-Resolution and Non-Closure</w:t>
      </w:r>
    </w:p>
    <w:p w14:paraId="320E5C62"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Expect and accept that there may not be closure. For example, it is not likely that you will resolve your personal understanding about race or another person’s racial experience in a single conversation. The more </w:t>
      </w:r>
      <w:bookmarkStart w:id="5" w:name="_Int_S7lJFBeT"/>
      <w:r w:rsidRPr="401C0774">
        <w:rPr>
          <w:rFonts w:ascii="Aptos" w:eastAsia="Aptos" w:hAnsi="Aptos" w:cs="Aptos"/>
          <w:sz w:val="22"/>
          <w:szCs w:val="22"/>
        </w:rPr>
        <w:t>you talk about complex issues</w:t>
      </w:r>
      <w:bookmarkEnd w:id="5"/>
      <w:r w:rsidRPr="401C0774">
        <w:rPr>
          <w:rFonts w:ascii="Aptos" w:eastAsia="Aptos" w:hAnsi="Aptos" w:cs="Aptos"/>
          <w:sz w:val="22"/>
          <w:szCs w:val="22"/>
        </w:rPr>
        <w:t xml:space="preserve"> with another person, the more you both will learn. Authentic and productive conversations about issues where perspectives may differ widely from yours, are continuous and always evolving. This means that sometimes we will have unfinished, unexplored, and shortened conversations about some concepts. </w:t>
      </w:r>
    </w:p>
    <w:p w14:paraId="6BFAD9B7" w14:textId="77777777" w:rsidR="004B2137" w:rsidRDefault="004B2137" w:rsidP="004B2137">
      <w:pPr>
        <w:shd w:val="clear" w:color="auto" w:fill="FFFFFF" w:themeFill="background1"/>
        <w:rPr>
          <w:rFonts w:ascii="Aptos" w:eastAsia="Aptos" w:hAnsi="Aptos" w:cs="Aptos"/>
          <w:sz w:val="22"/>
          <w:szCs w:val="22"/>
        </w:rPr>
      </w:pPr>
    </w:p>
    <w:p w14:paraId="117F3194" w14:textId="77777777" w:rsidR="004B2137" w:rsidRDefault="004B2137" w:rsidP="004B2137">
      <w:pPr>
        <w:shd w:val="clear" w:color="auto" w:fill="FFFFFF" w:themeFill="background1"/>
        <w:rPr>
          <w:rFonts w:ascii="Aptos" w:eastAsia="Aptos" w:hAnsi="Aptos" w:cs="Aptos"/>
          <w:sz w:val="22"/>
          <w:szCs w:val="22"/>
        </w:rPr>
      </w:pPr>
      <w:r w:rsidRPr="401C0774">
        <w:rPr>
          <w:rFonts w:ascii="Aptos" w:eastAsia="Aptos" w:hAnsi="Aptos" w:cs="Aptos"/>
          <w:sz w:val="22"/>
          <w:szCs w:val="22"/>
        </w:rPr>
        <w:t>When appropriate, you may engage, briefly dis-engage, or re-engage by sharing perspectives grounded in reflection, curiosity, and a growth mindset. In holding tension between non-resolution/non-closure and opportunities for engagement/re-engagement, you contribute to dialogue in ways that build understanding rather than shut it down.</w:t>
      </w:r>
    </w:p>
    <w:p w14:paraId="579DA40D" w14:textId="77777777" w:rsidR="004B2137" w:rsidRDefault="004B2137" w:rsidP="004B2137">
      <w:pPr>
        <w:rPr>
          <w:rFonts w:ascii="Aptos" w:eastAsia="Aptos" w:hAnsi="Aptos" w:cs="Aptos"/>
          <w:color w:val="000000" w:themeColor="text1"/>
          <w:sz w:val="22"/>
          <w:szCs w:val="22"/>
        </w:rPr>
      </w:pPr>
    </w:p>
    <w:p w14:paraId="55AB63C8" w14:textId="77777777" w:rsidR="004B2137" w:rsidRPr="006E513F" w:rsidRDefault="004B2137" w:rsidP="004B2137">
      <w:pPr>
        <w:rPr>
          <w:rFonts w:ascii="Aptos" w:eastAsia="Aptos" w:hAnsi="Aptos" w:cs="Aptos"/>
          <w:i/>
          <w:iCs/>
          <w:sz w:val="22"/>
          <w:szCs w:val="22"/>
        </w:rPr>
      </w:pPr>
      <w:r w:rsidRPr="401C0774">
        <w:rPr>
          <w:rFonts w:ascii="Aptos" w:eastAsia="Aptos" w:hAnsi="Aptos" w:cs="Aptos"/>
          <w:i/>
          <w:iCs/>
          <w:sz w:val="22"/>
          <w:szCs w:val="22"/>
        </w:rPr>
        <w:t>*Adapted from “Embracing equity and inclusion”, Annie E. Casey Foundation</w:t>
      </w:r>
    </w:p>
    <w:p w14:paraId="2B1FE06D" w14:textId="77777777" w:rsidR="004B2137" w:rsidRDefault="004B2137" w:rsidP="004B2137">
      <w:pPr>
        <w:rPr>
          <w:rFonts w:ascii="Aptos" w:eastAsia="Aptos" w:hAnsi="Aptos" w:cs="Aptos"/>
          <w:b/>
          <w:bCs/>
          <w:sz w:val="22"/>
          <w:szCs w:val="22"/>
        </w:rPr>
      </w:pPr>
    </w:p>
    <w:p w14:paraId="00F1773D" w14:textId="77777777" w:rsidR="004B2137" w:rsidRDefault="004B2137" w:rsidP="004B2137">
      <w:pPr>
        <w:rPr>
          <w:rFonts w:ascii="Calibri Light" w:hAnsi="Calibri Light" w:cs="Calibri Light"/>
          <w:sz w:val="22"/>
          <w:szCs w:val="22"/>
        </w:rPr>
      </w:pPr>
    </w:p>
    <w:p w14:paraId="4A781722" w14:textId="77777777" w:rsidR="004B2137" w:rsidRDefault="004B2137" w:rsidP="004B2137">
      <w:pPr>
        <w:rPr>
          <w:rFonts w:ascii="Calibri Light" w:hAnsi="Calibri Light" w:cs="Calibri Light"/>
          <w:sz w:val="22"/>
          <w:szCs w:val="22"/>
        </w:rPr>
      </w:pPr>
    </w:p>
    <w:p w14:paraId="7C1C4120" w14:textId="77777777" w:rsidR="004B2137" w:rsidRDefault="004B2137" w:rsidP="004B2137">
      <w:pPr>
        <w:rPr>
          <w:rFonts w:ascii="Calibri Light" w:hAnsi="Calibri Light" w:cs="Calibri Light"/>
          <w:b/>
          <w:bCs/>
        </w:rPr>
      </w:pPr>
    </w:p>
    <w:p w14:paraId="62FB62C2" w14:textId="77777777" w:rsidR="004B2137" w:rsidRDefault="004B2137" w:rsidP="004B2137">
      <w:pPr>
        <w:rPr>
          <w:rFonts w:ascii="Calibri Light" w:hAnsi="Calibri Light" w:cs="Calibri Light"/>
          <w:b/>
          <w:bCs/>
        </w:rPr>
      </w:pPr>
    </w:p>
    <w:p w14:paraId="61088950" w14:textId="77777777" w:rsidR="004B2137" w:rsidRDefault="004B2137" w:rsidP="004B2137">
      <w:pPr>
        <w:rPr>
          <w:rFonts w:ascii="Calibri Light" w:hAnsi="Calibri Light" w:cs="Calibri Light"/>
          <w:b/>
          <w:bCs/>
        </w:rPr>
      </w:pPr>
    </w:p>
    <w:p w14:paraId="1F889DED" w14:textId="77777777" w:rsidR="004B2137" w:rsidRDefault="004B2137" w:rsidP="004B2137">
      <w:pPr>
        <w:rPr>
          <w:rFonts w:ascii="Calibri Light" w:hAnsi="Calibri Light" w:cs="Calibri Light"/>
          <w:b/>
          <w:bCs/>
        </w:rPr>
      </w:pPr>
    </w:p>
    <w:p w14:paraId="571F5B19" w14:textId="77777777" w:rsidR="004B2137" w:rsidRPr="000C2316" w:rsidRDefault="004B2137" w:rsidP="004B2137">
      <w:pPr>
        <w:rPr>
          <w:rFonts w:cstheme="minorHAnsi"/>
          <w:b/>
          <w:bCs/>
          <w:sz w:val="36"/>
          <w:szCs w:val="36"/>
        </w:rPr>
      </w:pPr>
      <w:r w:rsidRPr="000C2316">
        <w:rPr>
          <w:rFonts w:cstheme="minorHAnsi"/>
          <w:b/>
          <w:bCs/>
          <w:sz w:val="36"/>
          <w:szCs w:val="36"/>
        </w:rPr>
        <w:lastRenderedPageBreak/>
        <w:t>Reflective Questions to Complete Prior to Attending Your Academy</w:t>
      </w:r>
    </w:p>
    <w:p w14:paraId="68F6AB4A" w14:textId="77777777" w:rsidR="004B2137" w:rsidRDefault="004B2137" w:rsidP="004B2137">
      <w:pPr>
        <w:rPr>
          <w:rFonts w:ascii="Calibri Light" w:hAnsi="Calibri Light" w:cs="Calibri Light"/>
          <w:b/>
          <w:bCs/>
        </w:rPr>
      </w:pPr>
    </w:p>
    <w:p w14:paraId="5A163496" w14:textId="77777777" w:rsidR="004B2137" w:rsidRDefault="004B2137" w:rsidP="004B2137">
      <w:pPr>
        <w:rPr>
          <w:rFonts w:ascii="Calibri Light" w:hAnsi="Calibri Light" w:cs="Calibri Light"/>
          <w:b/>
          <w:bCs/>
        </w:rPr>
      </w:pPr>
      <w:r>
        <w:rPr>
          <w:rFonts w:ascii="Calibri Light" w:hAnsi="Calibri Light" w:cs="Calibri Light"/>
          <w:b/>
          <w:bCs/>
        </w:rPr>
        <w:t>What questions do you want to ask about any of the ideas in these agreements?</w:t>
      </w:r>
    </w:p>
    <w:p w14:paraId="20EC3E41" w14:textId="77777777" w:rsidR="004B2137" w:rsidRDefault="004B2137" w:rsidP="004B2137">
      <w:pPr>
        <w:rPr>
          <w:rFonts w:ascii="Calibri Light" w:hAnsi="Calibri Light" w:cs="Calibri Light"/>
          <w:b/>
          <w:bCs/>
        </w:rPr>
      </w:pPr>
    </w:p>
    <w:tbl>
      <w:tblPr>
        <w:tblStyle w:val="TableGrid"/>
        <w:tblW w:w="10729" w:type="dxa"/>
        <w:tblLook w:val="04A0" w:firstRow="1" w:lastRow="0" w:firstColumn="1" w:lastColumn="0" w:noHBand="0" w:noVBand="1"/>
      </w:tblPr>
      <w:tblGrid>
        <w:gridCol w:w="10729"/>
      </w:tblGrid>
      <w:tr w:rsidR="004B2137" w14:paraId="4D0935F9" w14:textId="77777777" w:rsidTr="00694D87">
        <w:trPr>
          <w:trHeight w:val="1816"/>
        </w:trPr>
        <w:tc>
          <w:tcPr>
            <w:tcW w:w="10729" w:type="dxa"/>
          </w:tcPr>
          <w:p w14:paraId="221CFC56" w14:textId="77777777" w:rsidR="004B2137" w:rsidRDefault="004B2137" w:rsidP="00694D87">
            <w:pPr>
              <w:rPr>
                <w:rFonts w:ascii="Calibri Light" w:hAnsi="Calibri Light" w:cs="Calibri Light"/>
                <w:b/>
                <w:bCs/>
                <w:sz w:val="24"/>
                <w:szCs w:val="24"/>
              </w:rPr>
            </w:pPr>
          </w:p>
        </w:tc>
      </w:tr>
    </w:tbl>
    <w:p w14:paraId="75687D47" w14:textId="77777777" w:rsidR="004B2137" w:rsidRDefault="004B2137" w:rsidP="004B2137">
      <w:pPr>
        <w:rPr>
          <w:rFonts w:ascii="Calibri Light" w:hAnsi="Calibri Light" w:cs="Calibri Light"/>
          <w:b/>
          <w:bCs/>
        </w:rPr>
      </w:pPr>
    </w:p>
    <w:p w14:paraId="449AF53E" w14:textId="77777777" w:rsidR="004B2137" w:rsidRDefault="004B2137" w:rsidP="004B2137">
      <w:pPr>
        <w:rPr>
          <w:rFonts w:ascii="Calibri Light" w:hAnsi="Calibri Light" w:cs="Calibri Light"/>
          <w:b/>
          <w:bCs/>
        </w:rPr>
      </w:pPr>
    </w:p>
    <w:p w14:paraId="07BF2D75" w14:textId="77777777" w:rsidR="004B2137" w:rsidRDefault="004B2137" w:rsidP="004B2137">
      <w:pPr>
        <w:rPr>
          <w:rFonts w:ascii="Calibri Light" w:hAnsi="Calibri Light" w:cs="Calibri Light"/>
          <w:b/>
          <w:bCs/>
        </w:rPr>
      </w:pPr>
    </w:p>
    <w:p w14:paraId="4C3FA47D" w14:textId="77777777" w:rsidR="004B2137" w:rsidRDefault="004B2137" w:rsidP="004B2137">
      <w:pPr>
        <w:rPr>
          <w:rFonts w:ascii="Calibri Light" w:hAnsi="Calibri Light" w:cs="Calibri Light"/>
          <w:b/>
          <w:bCs/>
        </w:rPr>
      </w:pPr>
      <w:r>
        <w:rPr>
          <w:rFonts w:ascii="Calibri Light" w:hAnsi="Calibri Light" w:cs="Calibri Light"/>
          <w:b/>
          <w:bCs/>
        </w:rPr>
        <w:t xml:space="preserve">What additional agreements do you need </w:t>
      </w:r>
      <w:proofErr w:type="gramStart"/>
      <w:r>
        <w:rPr>
          <w:rFonts w:ascii="Calibri Light" w:hAnsi="Calibri Light" w:cs="Calibri Light"/>
          <w:b/>
          <w:bCs/>
        </w:rPr>
        <w:t>in order to</w:t>
      </w:r>
      <w:proofErr w:type="gramEnd"/>
      <w:r>
        <w:rPr>
          <w:rFonts w:ascii="Calibri Light" w:hAnsi="Calibri Light" w:cs="Calibri Light"/>
          <w:b/>
          <w:bCs/>
        </w:rPr>
        <w:t xml:space="preserve"> be a fully participating member of our learning community?</w:t>
      </w:r>
    </w:p>
    <w:p w14:paraId="40963816" w14:textId="77777777" w:rsidR="004B2137" w:rsidRDefault="004B2137" w:rsidP="004B2137">
      <w:pPr>
        <w:rPr>
          <w:rFonts w:ascii="Calibri Light" w:hAnsi="Calibri Light" w:cs="Calibri Light"/>
          <w:b/>
          <w:bCs/>
        </w:rPr>
      </w:pPr>
    </w:p>
    <w:tbl>
      <w:tblPr>
        <w:tblStyle w:val="TableGrid"/>
        <w:tblW w:w="0" w:type="auto"/>
        <w:tblLook w:val="04A0" w:firstRow="1" w:lastRow="0" w:firstColumn="1" w:lastColumn="0" w:noHBand="0" w:noVBand="1"/>
      </w:tblPr>
      <w:tblGrid>
        <w:gridCol w:w="9350"/>
      </w:tblGrid>
      <w:tr w:rsidR="004B2137" w14:paraId="3965167A" w14:textId="77777777" w:rsidTr="00694D87">
        <w:trPr>
          <w:trHeight w:val="1863"/>
        </w:trPr>
        <w:tc>
          <w:tcPr>
            <w:tcW w:w="10779" w:type="dxa"/>
          </w:tcPr>
          <w:p w14:paraId="5DF27450" w14:textId="77777777" w:rsidR="004B2137" w:rsidRDefault="004B2137" w:rsidP="00694D87">
            <w:pPr>
              <w:rPr>
                <w:rFonts w:ascii="Calibri Light" w:hAnsi="Calibri Light" w:cs="Calibri Light"/>
                <w:b/>
                <w:bCs/>
                <w:sz w:val="24"/>
                <w:szCs w:val="24"/>
              </w:rPr>
            </w:pPr>
          </w:p>
        </w:tc>
      </w:tr>
    </w:tbl>
    <w:p w14:paraId="761C11FF" w14:textId="77777777" w:rsidR="004B2137" w:rsidRDefault="004B2137" w:rsidP="004B2137">
      <w:pPr>
        <w:rPr>
          <w:rFonts w:ascii="Calibri Light" w:hAnsi="Calibri Light" w:cs="Calibri Light"/>
          <w:b/>
          <w:bCs/>
        </w:rPr>
      </w:pPr>
    </w:p>
    <w:p w14:paraId="2DEB4F03" w14:textId="77777777" w:rsidR="004B2137" w:rsidRDefault="004B2137" w:rsidP="004B2137">
      <w:pPr>
        <w:rPr>
          <w:rFonts w:ascii="Calibri Light" w:hAnsi="Calibri Light" w:cs="Calibri Light"/>
          <w:b/>
          <w:bCs/>
        </w:rPr>
      </w:pPr>
    </w:p>
    <w:p w14:paraId="3742E4CE" w14:textId="77777777" w:rsidR="004B2137" w:rsidRDefault="004B2137" w:rsidP="004B2137">
      <w:pPr>
        <w:rPr>
          <w:rFonts w:ascii="Calibri Light" w:hAnsi="Calibri Light" w:cs="Calibri Light"/>
          <w:b/>
          <w:bCs/>
        </w:rPr>
      </w:pPr>
    </w:p>
    <w:p w14:paraId="1C508DF4" w14:textId="77777777" w:rsidR="004B2137" w:rsidRPr="001110DA" w:rsidRDefault="004B2137" w:rsidP="004B2137">
      <w:pPr>
        <w:rPr>
          <w:rFonts w:ascii="Calibri Light" w:hAnsi="Calibri Light" w:cs="Calibri Light"/>
          <w:b/>
          <w:bCs/>
        </w:rPr>
      </w:pPr>
      <w:r w:rsidRPr="6C8B737F">
        <w:rPr>
          <w:rFonts w:ascii="Calibri Light" w:hAnsi="Calibri Light" w:cs="Calibri Light"/>
          <w:b/>
          <w:bCs/>
        </w:rPr>
        <w:t xml:space="preserve">Can you commit to these agreements?  If not, what would it take for you to be able to commit? </w:t>
      </w:r>
    </w:p>
    <w:tbl>
      <w:tblPr>
        <w:tblStyle w:val="TableGrid"/>
        <w:tblW w:w="10799" w:type="dxa"/>
        <w:tblLook w:val="04A0" w:firstRow="1" w:lastRow="0" w:firstColumn="1" w:lastColumn="0" w:noHBand="0" w:noVBand="1"/>
      </w:tblPr>
      <w:tblGrid>
        <w:gridCol w:w="10799"/>
      </w:tblGrid>
      <w:tr w:rsidR="004B2137" w14:paraId="31AEC1D9" w14:textId="77777777" w:rsidTr="00694D87">
        <w:trPr>
          <w:trHeight w:val="1970"/>
        </w:trPr>
        <w:tc>
          <w:tcPr>
            <w:tcW w:w="10799" w:type="dxa"/>
          </w:tcPr>
          <w:p w14:paraId="59627852" w14:textId="77777777" w:rsidR="004B2137" w:rsidRDefault="004B2137" w:rsidP="00694D87"/>
        </w:tc>
      </w:tr>
    </w:tbl>
    <w:p w14:paraId="184F766E" w14:textId="77777777" w:rsidR="004B2137" w:rsidRDefault="004B2137" w:rsidP="004B2137"/>
    <w:p w14:paraId="0E0FCAF1" w14:textId="77777777" w:rsidR="004B2137" w:rsidRPr="00CF52E0" w:rsidRDefault="004B2137" w:rsidP="004B2137"/>
    <w:p w14:paraId="354A2421" w14:textId="77777777" w:rsidR="00CF52E0" w:rsidRDefault="00CF52E0"/>
    <w:sectPr w:rsidR="00CF5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87F55"/>
    <w:multiLevelType w:val="multilevel"/>
    <w:tmpl w:val="85A6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B6DF1"/>
    <w:multiLevelType w:val="multilevel"/>
    <w:tmpl w:val="FC84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9136AB"/>
    <w:multiLevelType w:val="multilevel"/>
    <w:tmpl w:val="F624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845975"/>
    <w:multiLevelType w:val="multilevel"/>
    <w:tmpl w:val="6054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331165">
    <w:abstractNumId w:val="2"/>
  </w:num>
  <w:num w:numId="2" w16cid:durableId="1445729543">
    <w:abstractNumId w:val="3"/>
  </w:num>
  <w:num w:numId="3" w16cid:durableId="999238693">
    <w:abstractNumId w:val="0"/>
  </w:num>
  <w:num w:numId="4" w16cid:durableId="1154570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2E0"/>
    <w:rsid w:val="00046B32"/>
    <w:rsid w:val="00234A2F"/>
    <w:rsid w:val="004B2137"/>
    <w:rsid w:val="007A6F95"/>
    <w:rsid w:val="00CF52E0"/>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7CBA"/>
  <w15:chartTrackingRefBased/>
  <w15:docId w15:val="{3C1508A9-A5DF-40FE-8F52-AC06C6B4D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2E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52E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52E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52E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52E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5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2E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52E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52E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52E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52E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5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2E0"/>
    <w:rPr>
      <w:rFonts w:eastAsiaTheme="majorEastAsia" w:cstheme="majorBidi"/>
      <w:color w:val="272727" w:themeColor="text1" w:themeTint="D8"/>
    </w:rPr>
  </w:style>
  <w:style w:type="paragraph" w:styleId="Title">
    <w:name w:val="Title"/>
    <w:basedOn w:val="Normal"/>
    <w:next w:val="Normal"/>
    <w:link w:val="TitleChar"/>
    <w:uiPriority w:val="10"/>
    <w:qFormat/>
    <w:rsid w:val="00CF5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2E0"/>
    <w:pPr>
      <w:spacing w:before="160"/>
      <w:jc w:val="center"/>
    </w:pPr>
    <w:rPr>
      <w:i/>
      <w:iCs/>
      <w:color w:val="404040" w:themeColor="text1" w:themeTint="BF"/>
    </w:rPr>
  </w:style>
  <w:style w:type="character" w:customStyle="1" w:styleId="QuoteChar">
    <w:name w:val="Quote Char"/>
    <w:basedOn w:val="DefaultParagraphFont"/>
    <w:link w:val="Quote"/>
    <w:uiPriority w:val="29"/>
    <w:rsid w:val="00CF52E0"/>
    <w:rPr>
      <w:i/>
      <w:iCs/>
      <w:color w:val="404040" w:themeColor="text1" w:themeTint="BF"/>
    </w:rPr>
  </w:style>
  <w:style w:type="paragraph" w:styleId="ListParagraph">
    <w:name w:val="List Paragraph"/>
    <w:basedOn w:val="Normal"/>
    <w:uiPriority w:val="34"/>
    <w:qFormat/>
    <w:rsid w:val="00CF52E0"/>
    <w:pPr>
      <w:ind w:left="720"/>
      <w:contextualSpacing/>
    </w:pPr>
  </w:style>
  <w:style w:type="character" w:styleId="IntenseEmphasis">
    <w:name w:val="Intense Emphasis"/>
    <w:basedOn w:val="DefaultParagraphFont"/>
    <w:uiPriority w:val="21"/>
    <w:qFormat/>
    <w:rsid w:val="00CF52E0"/>
    <w:rPr>
      <w:i/>
      <w:iCs/>
      <w:color w:val="2E74B5" w:themeColor="accent1" w:themeShade="BF"/>
    </w:rPr>
  </w:style>
  <w:style w:type="paragraph" w:styleId="IntenseQuote">
    <w:name w:val="Intense Quote"/>
    <w:basedOn w:val="Normal"/>
    <w:next w:val="Normal"/>
    <w:link w:val="IntenseQuoteChar"/>
    <w:uiPriority w:val="30"/>
    <w:qFormat/>
    <w:rsid w:val="00CF52E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52E0"/>
    <w:rPr>
      <w:i/>
      <w:iCs/>
      <w:color w:val="2E74B5" w:themeColor="accent1" w:themeShade="BF"/>
    </w:rPr>
  </w:style>
  <w:style w:type="character" w:styleId="IntenseReference">
    <w:name w:val="Intense Reference"/>
    <w:basedOn w:val="DefaultParagraphFont"/>
    <w:uiPriority w:val="32"/>
    <w:qFormat/>
    <w:rsid w:val="00CF52E0"/>
    <w:rPr>
      <w:b/>
      <w:bCs/>
      <w:smallCaps/>
      <w:color w:val="2E74B5" w:themeColor="accent1" w:themeShade="BF"/>
      <w:spacing w:val="5"/>
    </w:rPr>
  </w:style>
  <w:style w:type="character" w:styleId="Hyperlink">
    <w:name w:val="Hyperlink"/>
    <w:basedOn w:val="DefaultParagraphFont"/>
    <w:uiPriority w:val="99"/>
    <w:unhideWhenUsed/>
    <w:rsid w:val="00CF52E0"/>
    <w:rPr>
      <w:color w:val="0563C1" w:themeColor="hyperlink"/>
      <w:u w:val="single"/>
    </w:rPr>
  </w:style>
  <w:style w:type="character" w:styleId="UnresolvedMention">
    <w:name w:val="Unresolved Mention"/>
    <w:basedOn w:val="DefaultParagraphFont"/>
    <w:uiPriority w:val="99"/>
    <w:semiHidden/>
    <w:unhideWhenUsed/>
    <w:rsid w:val="00CF52E0"/>
    <w:rPr>
      <w:color w:val="605E5C"/>
      <w:shd w:val="clear" w:color="auto" w:fill="E1DFDD"/>
    </w:rPr>
  </w:style>
  <w:style w:type="table" w:styleId="TableGrid">
    <w:name w:val="Table Grid"/>
    <w:basedOn w:val="TableNormal"/>
    <w:uiPriority w:val="39"/>
    <w:rsid w:val="004B213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crns.ca/prevention-and-awareness/decolonizing-community-spaces" TargetMode="External"/><Relationship Id="rId13" Type="http://schemas.openxmlformats.org/officeDocument/2006/relationships/hyperlink" Target="https://percees.uqam.ca/good-beginnings-decolonizing-protocols-and-agreements-or-mouse-crosses-river/" TargetMode="External"/><Relationship Id="rId18" Type="http://schemas.openxmlformats.org/officeDocument/2006/relationships/hyperlink" Target="https://www.linkedin.com/posts/izzygesell_consensus-compromise-activity-6993172381330501633-WOyw"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kaizenko.com/decision-making-techniques-for-facilitators-9-methods-to-drive-group-consensus/" TargetMode="External"/><Relationship Id="rId7" Type="http://schemas.openxmlformats.org/officeDocument/2006/relationships/webSettings" Target="webSettings.xml"/><Relationship Id="rId12" Type="http://schemas.openxmlformats.org/officeDocument/2006/relationships/hyperlink" Target="https://pressbooks.cuny.edu/bibliotechfall24/chapter/neutrality-in-libraries-a-social-construct/" TargetMode="External"/><Relationship Id="rId17" Type="http://schemas.openxmlformats.org/officeDocument/2006/relationships/hyperlink" Target="https://ecampusontario.pressbooks.pub/paths/chapter/making-decisions-as-a-team/" TargetMode="External"/><Relationship Id="rId25"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hyperlink" Target="https://www.linkedin.com/posts/izzygesell_a-simple-effective-way-to-reach-consensus-activity-7097177608877957120-0o02" TargetMode="External"/><Relationship Id="rId20" Type="http://schemas.openxmlformats.org/officeDocument/2006/relationships/hyperlink" Target="https://hilarypollanfacilitation.com/2023/04/28/thumbs-voting-a-simple-tool-for-shared-decision-mak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urnals.sagepub.com/doi/10.1177/0010836719832339" TargetMode="External"/><Relationship Id="rId24"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californiaengage.org/resource/getting-consensus-with-thumbs/" TargetMode="External"/><Relationship Id="rId23" Type="http://schemas.openxmlformats.org/officeDocument/2006/relationships/hyperlink" Target="http://yes2youthengagement.weebly.com/uploads/1/0/8/3/10836788/consensus_voting_with_thumbs__myan.pdf" TargetMode="External"/><Relationship Id="rId10" Type="http://schemas.openxmlformats.org/officeDocument/2006/relationships/hyperlink" Target="https://nyslibrary.libguides.com/dei/norms" TargetMode="External"/><Relationship Id="rId19" Type="http://schemas.openxmlformats.org/officeDocument/2006/relationships/hyperlink" Target="https://www.linkedin.com/posts/izzygesell_a-simple-effective-way-to-reach-consensus-activity-7097177608877957120-0o02" TargetMode="External"/><Relationship Id="rId4" Type="http://schemas.openxmlformats.org/officeDocument/2006/relationships/numbering" Target="numbering.xml"/><Relationship Id="rId9" Type="http://schemas.openxmlformats.org/officeDocument/2006/relationships/hyperlink" Target="https://teaching.cornell.edu/resource/establishing-community-agreements-and-classroom-norms" TargetMode="External"/><Relationship Id="rId14" Type="http://schemas.openxmlformats.org/officeDocument/2006/relationships/hyperlink" Target="https://digitalpromise.org/topics/community-agreements/" TargetMode="External"/><Relationship Id="rId22" Type="http://schemas.openxmlformats.org/officeDocument/2006/relationships/hyperlink" Target="https://coco-net.org/wp-content/uploads/To%20add%20to%20media%20library/ConsensusProces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6DDA265-5894-48F2-8F0E-A017396FD857}">
  <ds:schemaRefs>
    <ds:schemaRef ds:uri="http://schemas.microsoft.com/sharepoint/v3/contenttype/forms"/>
  </ds:schemaRefs>
</ds:datastoreItem>
</file>

<file path=customXml/itemProps2.xml><?xml version="1.0" encoding="utf-8"?>
<ds:datastoreItem xmlns:ds="http://schemas.openxmlformats.org/officeDocument/2006/customXml" ds:itemID="{A10ADB6D-9D5F-47FF-BD48-5E55C12B6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6BF795-8330-4D06-BD92-2E2607535B4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2042</Words>
  <Characters>11640</Characters>
  <Application>Microsoft Office Word</Application>
  <DocSecurity>0</DocSecurity>
  <Lines>97</Lines>
  <Paragraphs>27</Paragraphs>
  <ScaleCrop>false</ScaleCrop>
  <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
  <cp:revision>2</cp:revision>
  <dcterms:created xsi:type="dcterms:W3CDTF">2026-08-10T14:57:00Z</dcterms:created>
  <dcterms:modified xsi:type="dcterms:W3CDTF">2026-08-10T17:19:00Z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