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Course Details</w:t>
      </w:r>
    </w:p>
    <w:p>
      <w:pPr>
        <w:pStyle w:val="standard"/>
      </w:pPr>
    </w:p>
    <w:p>
      <w:pPr>
        <w:pStyle w:val="Heading1"/>
      </w:pPr>
      <w:r>
        <w:t xml:space="preserve">COURSE INFORMATION</w:t>
      </w:r>
    </w:p>
    <w:p>
      <w:pPr>
        <w:pStyle w:val="Heading2"/>
      </w:pPr>
      <w:r>
        <w:t xml:space="preserve">Course Topic</w:t>
      </w:r>
    </w:p>
    <w:p>
      <w:pPr>
        <w:pStyle w:val="standard"/>
      </w:pPr>
      <w:r>
        <w:t xml:space="preserve">Community agreements and collaborative practices in unions</w:t>
      </w:r>
    </w:p>
    <w:p>
      <w:pPr>
        <w:pStyle w:val="Heading2"/>
      </w:pPr>
      <w:r>
        <w:t xml:space="preserve">Tone</w:t>
      </w:r>
    </w:p>
    <w:p>
      <w:pPr>
        <w:pStyle w:val="standard"/>
      </w:pPr>
      <w:r>
        <w:t xml:space="preserve">inclusive, supportive, reflective, clear</w:t>
      </w:r>
    </w:p>
    <w:p>
      <w:pPr>
        <w:pStyle w:val="Heading2"/>
      </w:pPr>
      <w:r>
        <w:t xml:space="preserve">Audience</w:t>
      </w:r>
    </w:p>
    <w:p>
      <w:pPr>
        <w:pStyle w:val="standard"/>
      </w:pPr>
      <w:r>
        <w:t xml:space="preserve">Early-career labor union staff representing public school employees, in their first two years, attending a week-long foundational in-person training on UniServ and organizing.</w:t>
      </w:r>
    </w:p>
    <w:p>
      <w:pPr>
        <w:pStyle w:val="Heading2"/>
      </w:pPr>
      <w:r>
        <w:t xml:space="preserve">Goals</w:t>
      </w:r>
    </w:p>
    <w:p>
      <w:pPr>
        <w:pStyle w:val="standard"/>
      </w:pPr>
      <w:r>
        <w:t xml:space="preserve">The learner will understand the importance of community agreements, be able to use the up-side-down thumb group process, identify and apply the eight community agreements in various scenarios, and reflect on their own commitments in fostering a healthy learning and working community.</w:t>
      </w:r>
    </w:p>
    <w:p>
      <w:pPr>
        <w:pStyle w:val="standard"/>
      </w:pPr>
    </w:p>
    <w:p>
      <w:pPr>
        <w:pStyle w:val="Heading1"/>
      </w:pPr>
      <w:r>
        <w:t xml:space="preserve">LEARNING OBJECTIVES</w:t>
      </w:r>
    </w:p>
    <w:p>
      <w:pPr>
        <w:pStyle w:val="standard-bold"/>
        <w:numPr>
          <w:ilvl w:val="0"/>
          <w:numId w:val="2"/>
        </w:numPr>
      </w:pPr>
      <w:r>
        <w:t xml:space="preserve">Describe the rationale behind using community agreements instead of norms.</w:t>
      </w:r>
    </w:p>
    <w:p>
      <w:pPr>
        <w:pStyle w:val="standard-bold"/>
        <w:numPr>
          <w:ilvl w:val="0"/>
          <w:numId w:val="2"/>
        </w:numPr>
      </w:pPr>
      <w:r>
        <w:t xml:space="preserve">Explain and demonstrate the up-side-down thumb group decision-making process.</w:t>
      </w:r>
    </w:p>
    <w:p>
      <w:pPr>
        <w:pStyle w:val="standard-bold"/>
        <w:numPr>
          <w:ilvl w:val="0"/>
          <w:numId w:val="2"/>
        </w:numPr>
      </w:pPr>
      <w:r>
        <w:t xml:space="preserve">Identify and apply each of the eight community agreements in realistic workplace scenarios.</w:t>
      </w:r>
    </w:p>
    <w:p>
      <w:pPr>
        <w:pStyle w:val="standard-bold"/>
        <w:numPr>
          <w:ilvl w:val="0"/>
          <w:numId w:val="2"/>
        </w:numPr>
      </w:pPr>
      <w:r>
        <w:t xml:space="preserve">Reflect on personal perspectives regarding community agreements and commit to practices that foster equitable and inclusive collaboration.</w:t>
      </w:r>
    </w:p>
    <w:p>
      <w:pPr>
        <w:pStyle w:val="standard-bold"/>
        <w:numPr>
          <w:ilvl w:val="0"/>
          <w:numId w:val="2"/>
        </w:numPr>
      </w:pPr>
      <w:r>
        <w:t xml:space="preserve">Assess one’s own readiness and needs for committing to the presented agreements.</w:t>
      </w:r>
    </w:p>
    <w:p>
      <w:pPr>
        <w:pStyle w:val="Title"/>
        <w:pageBreakBefore/>
      </w:pPr>
      <w:r>
        <w:t xml:space="preserve">Course Outline</w:t>
      </w:r>
    </w:p>
    <w:p>
      <w:pPr>
        <w:pStyle w:val="standard"/>
      </w:pPr>
    </w:p>
    <w:p>
      <w:pPr>
        <w:pStyle w:val="Heading1"/>
      </w:pPr>
      <w:r>
        <w:t xml:space="preserve">OVERVIEW</w:t>
      </w:r>
    </w:p>
    <w:p>
      <w:pPr>
        <w:pStyle w:val="standard-bold"/>
      </w:pPr>
      <w:r>
        <w:t xml:space="preserve">Building Inclusive Union Communities: Community Agreements in Practice</w:t>
      </w:r>
    </w:p>
    <w:p>
      <w:pPr>
        <w:pStyle w:val="Heading2"/>
      </w:pPr>
      <w:r>
        <w:t xml:space="preserve">Description</w:t>
      </w:r>
    </w:p>
    <w:p>
      <w:pPr>
        <w:pStyle w:val="standard"/>
      </w:pPr>
      <w:r>
        <w:t xml:space="preserve">How do we create a truly inclusive and collaborative union environment? This course invites you to explore the power of community agreements in fostering trust, equity, and effective teamwork among public school union staff. Gain hands-on understanding of why community agreements matter, how to participate in collective decision-making, and how to apply practical agreements in real-world scenarios. By the end, you'll be ready to confidently contribute to a supportive and equitable learning and working community.</w:t>
      </w:r>
    </w:p>
    <w:p>
      <w:pPr>
        <w:pStyle w:val="Heading2"/>
      </w:pPr>
      <w:r>
        <w:t xml:space="preserve">Lessons</w:t>
      </w:r>
    </w:p>
    <w:p>
      <w:pPr>
        <w:pStyle w:val="standard-bold"/>
        <w:numPr>
          <w:ilvl w:val="0"/>
          <w:numId w:val="3"/>
        </w:numPr>
        <w:spacing w:after="0"/>
      </w:pPr>
      <w:r>
        <w:t xml:space="preserve">Why Community Agreements? Moving Beyond Norms and Practicing Collective Decision-Making</w:t>
      </w:r>
    </w:p>
    <w:p>
      <w:pPr>
        <w:pStyle w:val="standard-bold"/>
        <w:numPr>
          <w:ilvl w:val="0"/>
          <w:numId w:val="3"/>
        </w:numPr>
        <w:spacing w:after="0"/>
      </w:pPr>
      <w:r>
        <w:t xml:space="preserve">The Eight Community Agreements in Action: Realistic Adult Learning Scenarios</w:t>
      </w:r>
    </w:p>
    <w:p>
      <w:pPr>
        <w:pStyle w:val="standard-bold"/>
        <w:numPr>
          <w:ilvl w:val="0"/>
          <w:numId w:val="3"/>
        </w:numPr>
        <w:spacing w:after="240"/>
      </w:pPr>
      <w:r>
        <w:t xml:space="preserve">Reflecting and Committing: Personal Engagement with Community Agreements</w:t>
      </w:r>
    </w:p>
    <w:p>
      <w:pPr>
        <w:pStyle w:val="standard"/>
      </w:pPr>
    </w:p>
    <w:p>
      <w:pPr>
        <w:pStyle w:val="Heading1"/>
      </w:pPr>
      <w:r>
        <w:t xml:space="preserve">LESSON #1</w:t>
      </w:r>
    </w:p>
    <w:p>
      <w:pPr>
        <w:pStyle w:val="standard-bold"/>
        <w:keepNext/>
      </w:pPr>
      <w:r>
        <w:t xml:space="preserve">Why Community Agreements? Moving Beyond Norms and Practicing Collective Decision-Making</w:t>
      </w:r>
    </w:p>
    <w:p>
      <w:pPr>
        <w:pStyle w:val="Heading2"/>
      </w:pPr>
      <w:r>
        <w:t xml:space="preserve">Description</w:t>
      </w:r>
    </w:p>
    <w:p>
      <w:pPr>
        <w:pStyle w:val="standard"/>
      </w:pPr>
      <w:r>
        <w:t xml:space="preserve">This lesson introduces the rationale for using community agreements instead of traditional norms, emphasizing their inclusive and co-created nature. It will cover the distinctions between norms and agreements, the importance of shared accountability, and the process of group consensus. The lesson will also detail the up-side-down thumb process, providing a step-by-step overview and opportunities to practice its use in group settings. The lesson will set the conceptual foundation for understanding collaborative practices in union environments.</w:t>
      </w:r>
    </w:p>
    <w:p>
      <w:pPr>
        <w:pStyle w:val="Heading2"/>
      </w:pPr>
      <w:r>
        <w:t xml:space="preserve">Key Topics</w:t>
      </w:r>
    </w:p>
    <w:p>
      <w:pPr>
        <w:pStyle w:val="standard-ital"/>
      </w:pPr>
      <w:r>
        <w:t xml:space="preserve">Differences between norms and community agreements, Why 'norms' can exclude marginalized voices, Benefits of co-created agreements in union settings, Shared accountability and living documents, Overview of the up-side-down thumb group decision-making process, Steps and practical tips for group consensus</w:t>
      </w:r>
    </w:p>
    <w:p>
      <w:pPr>
        <w:pStyle w:val="standard"/>
      </w:pPr>
    </w:p>
    <w:p>
      <w:pPr>
        <w:pStyle w:val="Heading1"/>
      </w:pPr>
      <w:r>
        <w:t xml:space="preserve">LESSON #2</w:t>
      </w:r>
    </w:p>
    <w:p>
      <w:pPr>
        <w:pStyle w:val="standard-bold"/>
        <w:keepNext/>
      </w:pPr>
      <w:r>
        <w:t xml:space="preserve">The Eight Community Agreements in Action: Realistic Adult Learning Scenarios</w:t>
      </w:r>
    </w:p>
    <w:p>
      <w:pPr>
        <w:pStyle w:val="Heading2"/>
      </w:pPr>
      <w:r>
        <w:t xml:space="preserve">Description</w:t>
      </w:r>
    </w:p>
    <w:p>
      <w:pPr>
        <w:pStyle w:val="standard"/>
      </w:pPr>
      <w:r>
        <w:t xml:space="preserve">This lesson introduces each of the eight community agreements with a scenario rooted in authentic adult learning experiences likely to occur during union staff training. For each agreement, learners will examine a situation that early-career union staff may encounter—such as group discussions, collaborative problem-solving, or navigating challenging conversations. Participants will identify the relevant agreement, reflect on its application, and discuss strategies for upholding each agreement in professional, diverse, and inclusive union training environments. This lesson centers on practical understanding and skill-building to support inclusive collaboration.</w:t>
      </w:r>
    </w:p>
    <w:p>
      <w:pPr>
        <w:pStyle w:val="Heading2"/>
      </w:pPr>
      <w:r>
        <w:t xml:space="preserve">Key Topics</w:t>
      </w:r>
    </w:p>
    <w:p>
      <w:pPr>
        <w:pStyle w:val="standard-ital"/>
      </w:pPr>
      <w:r>
        <w:t xml:space="preserve">Overview of the Eight Community Agreements Scenario 1: Practicing Awareness and Self-Knowledge During Group Icebreakers Scenario 2: Listening for Understanding in Team Discussions Scenario 3: Demonstrating Kindness and Graciousness in Disagreement Scenario 4: Staying Engaged During Lengthy or Challenging Sessions Scenario 5: Staying Curious and Suspending Judgement in Difficult Conversations Scenario 6: Saying “I” and Telling Your Truth in Feedback Rounds Scenario 7: Leaning into Discomfort When Addressing Sensitive Topics Scenario 8: Expecting Non-Resolution and Non-Closure with Ongoing Debates Group Application: Practicing Agreements in Simulated Adult Training Situations</w:t>
      </w:r>
    </w:p>
    <w:p>
      <w:pPr>
        <w:pStyle w:val="standard"/>
      </w:pPr>
    </w:p>
    <w:p>
      <w:pPr>
        <w:pStyle w:val="Heading1"/>
      </w:pPr>
      <w:r>
        <w:t xml:space="preserve">LESSON #3</w:t>
      </w:r>
    </w:p>
    <w:p>
      <w:pPr>
        <w:pStyle w:val="standard-bold"/>
        <w:keepNext/>
      </w:pPr>
      <w:r>
        <w:t xml:space="preserve">Reflecting and Committing: Personal Engagement with Community Agreements</w:t>
      </w:r>
    </w:p>
    <w:p>
      <w:pPr>
        <w:pStyle w:val="Heading2"/>
      </w:pPr>
      <w:r>
        <w:t xml:space="preserve">Description</w:t>
      </w:r>
    </w:p>
    <w:p>
      <w:pPr>
        <w:pStyle w:val="standard"/>
      </w:pPr>
      <w:r>
        <w:t xml:space="preserve">This lesson guides learners through a structured reflection on the community agreements, encouraging them to assess their own perspectives, readiness, and needs for commitment. Drawing from reflective questions provided in the source material, the lesson will prompt learners to consider what additional agreements or supports they might need and to articulate their personal commitment to fostering an equitable community. The lesson concludes with strategies for ongoing self-assessment and growth.</w:t>
      </w:r>
    </w:p>
    <w:p>
      <w:pPr>
        <w:pStyle w:val="Heading2"/>
      </w:pPr>
      <w:r>
        <w:t xml:space="preserve">Key Topics</w:t>
      </w:r>
    </w:p>
    <w:p>
      <w:pPr>
        <w:pStyle w:val="standard-ital"/>
      </w:pPr>
      <w:r>
        <w:t xml:space="preserve">Guided reflection on personal perspectives regarding community agreements, Assessing readiness to commit and identifying personal needs, Articulating personal commitments to equitable collaboration, Strategies for ongoing reflection and growth in union environments</w:t>
      </w:r>
    </w:p>
    <w:p>
      <w:pPr>
        <w:pStyle w:val="Title"/>
        <w:pageBreakBefore/>
      </w:pPr>
      <w:r>
        <w:t xml:space="preserve">Source Materials</w:t>
      </w:r>
    </w:p>
    <w:p>
      <w:pPr>
        <w:pStyle w:val="standard"/>
      </w:pPr>
    </w:p>
    <w:p>
      <w:pPr>
        <w:pStyle w:val="standard"/>
      </w:pPr>
      <w:r>
        <w:t xml:space="preserve">0.2 Community Agreements 2627.docx</w:t>
      </w:r>
    </w:p>
    <w:p>
      <w:pPr>
        <w:pStyle w:val="standard"/>
      </w:pPr>
      <w:r>
        <w:t xml:space="preserve">Term Definition and Process.docx</w:t>
      </w:r>
    </w:p>
    <w:sectPr>
      <w:head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pPr>
    <w:r>
      <w:drawing>
        <wp:anchor distT="0" distB="0" distL="0" distR="0" simplePos="0" allowOverlap="1" behindDoc="0" locked="0" layoutInCell="1" relativeHeight="152400">
          <wp:simplePos x="0" y="0"/>
          <wp:positionH relativeFrom="margin">
            <wp:align>left</wp:align>
          </wp:positionH>
          <wp:positionV relativeFrom="paragraph">
            <wp:align>top</wp:align>
          </wp:positionV>
          <wp:extent cx="904875" cy="152400"/>
          <wp:effectExtent t="0" r="0" b="0" l="0"/>
          <wp:wrapSquare wrapText="bothSides" distT="0" distB="0" distL="0" distR="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152400"/>
                  </a:xfrm>
                  <a:prstGeom prst="rect">
                    <a:avLst/>
                  </a:prstGeom>
                </pic:spPr>
              </pic:pic>
            </a:graphicData>
          </a:graphic>
        </wp:anchor>
      </w:drawing>
    </w:r>
    <w:r>
      <w:t xml:space="preserve">Created by Ellen Holmes with Articulate AI Assistant</w:t>
    </w:r>
    <w:r>
      <w:br/>
    </w:r>
    <w:r>
      <w:t xml:space="preserve">2:24 PM 8/10/26</w:t>
    </w:r>
  </w:p>
  <w:p>
    <w:r>
      <w:drawing>
        <wp:anchor distT="0" distB="0" distL="0" distR="0" simplePos="0" allowOverlap="1" behindDoc="1" locked="0" layoutInCell="1" relativeHeight="1981200">
          <wp:simplePos x="0" y="0"/>
          <wp:positionH relativeFrom="page">
            <wp:align>right</wp:align>
          </wp:positionH>
          <wp:positionV relativeFrom="page">
            <wp:align>bottom</wp:align>
          </wp:positionV>
          <wp:extent cx="1981200" cy="1981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spacing w:after="240"/>
        <w:ind w:left="360" w:hanging="360"/>
      </w:pPr>
      <w:rPr>
        <w:rFonts w:ascii="Verdana" w:hAnsi="Verdana" w:eastAsia="Verdana" w:cs="Verdana" w:hint="default"/>
        <w:color w:val="000000"/>
        <w:sz w:val="22"/>
        <w:szCs w:val="22"/>
      </w:rPr>
    </w:lvl>
  </w:abstractNum>
  <w:abstractNum w:abstractNumId="3" w15:restartNumberingAfterBreak="0">
    <w:multiLevelType w:val="hybridMultilevel"/>
    <w:lvl w:ilvl="0" w15:tentative="1">
      <w:start w:val="1"/>
      <w:numFmt w:val="decimal"/>
      <w:lvlText w:val="%1."/>
      <w:lvlJc w:val="start"/>
      <w:pPr>
        <w:ind w:left="360" w:hanging="360"/>
      </w:pPr>
      <w:rPr>
        <w:rFonts w:ascii="Verdana" w:hAnsi="Verdana" w:eastAsia="Verdana" w:cs="Verdana" w:hint="default"/>
        <w:b/>
        <w:bCs/>
        <w:color w:val="0075cf"/>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hAnsi="Verdana" w:eastAsia="Verdana" w:cs="Verdana" w:hint="defaul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er">
    <w:name w:val="header"/>
    <w:pPr>
      <w:jc w:val="right"/>
    </w:pPr>
    <w:rPr>
      <w:rFonts w:ascii="Verdana" w:hAnsi="Verdana" w:eastAsia="Verdana" w:cs="Verdana" w:hint="default"/>
      <w:color w:val="636363"/>
      <w:sz w:val="16"/>
      <w:szCs w:val="16"/>
    </w:rPr>
  </w:style>
  <w:style w:type="paragraph" w:styleId="Title">
    <w:name w:val="Title"/>
    <w:pPr>
      <w:pBdr>
        <w:bottom w:val="single" w:color="444746" w:sz="2" w:space="20"/>
      </w:pBdr>
      <w:spacing w:after="120"/>
      <w:outlineLvl w:val="0"/>
    </w:pPr>
    <w:rPr>
      <w:rFonts w:ascii="Verdana" w:hAnsi="Verdana" w:eastAsia="Verdana" w:cs="Verdana" w:hint="default"/>
      <w:color w:val="444746"/>
      <w:sz w:val="40"/>
      <w:szCs w:val="40"/>
    </w:rPr>
  </w:style>
  <w:style w:type="paragraph" w:styleId="Heading1">
    <w:name w:val="Heading1"/>
    <w:pPr>
      <w:keepNext/>
      <w:spacing w:after="240"/>
      <w:outlineLvl w:val="1"/>
    </w:pPr>
    <w:rPr>
      <w:rFonts w:ascii="Verdana" w:hAnsi="Verdana" w:eastAsia="Verdana" w:cs="Verdana" w:hint="default"/>
      <w:b/>
      <w:bCs/>
      <w:caps/>
      <w:color w:val="0075cf"/>
      <w:sz w:val="22"/>
      <w:szCs w:val="22"/>
    </w:rPr>
  </w:style>
  <w:style w:type="paragraph" w:styleId="Heading2">
    <w:name w:val="Heading2"/>
    <w:pPr>
      <w:keepNext/>
      <w:spacing w:after="240"/>
      <w:outlineLvl w:val="2"/>
    </w:pPr>
    <w:rPr>
      <w:rFonts w:ascii="Verdana" w:hAnsi="Verdana" w:eastAsia="Verdana" w:cs="Verdana" w:hint="default"/>
      <w:b/>
      <w:bCs/>
      <w:color w:val="000000"/>
      <w:sz w:val="22"/>
      <w:szCs w:val="22"/>
    </w:rPr>
  </w:style>
  <w:style w:type="paragraph" w:styleId="standard">
    <w:name w:val="standard"/>
    <w:pPr>
      <w:spacing w:after="240"/>
    </w:pPr>
    <w:rPr>
      <w:rFonts w:ascii="Verdana" w:hAnsi="Verdana" w:eastAsia="Verdana" w:cs="Verdana" w:hint="default"/>
      <w:color w:val="000000"/>
      <w:sz w:val="22"/>
      <w:szCs w:val="22"/>
    </w:rPr>
  </w:style>
  <w:style w:type="paragraph" w:styleId="standard-bold">
    <w:name w:val="standard-bold"/>
    <w:pPr>
      <w:spacing w:after="240"/>
    </w:pPr>
    <w:rPr>
      <w:rFonts w:ascii="Verdana" w:hAnsi="Verdana" w:eastAsia="Verdana" w:cs="Verdana" w:hint="default"/>
      <w:b/>
      <w:bCs/>
      <w:color w:val="000000"/>
      <w:sz w:val="22"/>
      <w:szCs w:val="22"/>
    </w:rPr>
  </w:style>
  <w:style w:type="paragraph" w:styleId="standard-ital">
    <w:name w:val="standard-ital"/>
    <w:pPr>
      <w:spacing w:after="240"/>
    </w:pPr>
    <w:rPr>
      <w:rFonts w:ascii="Verdana" w:hAnsi="Verdana" w:eastAsia="Verdana" w:cs="Verdana" w:hint="default"/>
      <w:i/>
      <w:iCs/>
      <w:color w:val="000000"/>
      <w:sz w:val="22"/>
      <w:szCs w:val="22"/>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comments" Target="comment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27e620d9449fd42e5f304acc0e0314b7e630fe0.png"/><Relationship Id="rId1" Type="http://schemas.openxmlformats.org/officeDocument/2006/relationships/image" Target="media/ae2b8a964f80fc375e4f4707cee6ce2269688b27.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DD9FB5C-90AA-44C3-991A-7C3F9FCB245B}"/>
</file>

<file path=customXml/itemProps2.xml><?xml version="1.0" encoding="utf-8"?>
<ds:datastoreItem xmlns:ds="http://schemas.openxmlformats.org/officeDocument/2006/customXml" ds:itemID="{D5FF1A9C-607B-4D90-9D61-DE20AD0BC334}"/>
</file>

<file path=customXml/itemProps3.xml><?xml version="1.0" encoding="utf-8"?>
<ds:datastoreItem xmlns:ds="http://schemas.openxmlformats.org/officeDocument/2006/customXml" ds:itemID="{824FE442-AAD6-42B9-8A74-C7A2D33D44BF}"/>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2026-08-10T18:24:29Z</dcterms:created>
  <dcterms:modified xsi:type="dcterms:W3CDTF">2026-08-10T18:24:29Z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