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Future scenarios for NEA union organizing</w:t>
      </w:r>
    </w:p>
    <w:p>
      <w:pPr>
        <w:pStyle w:val="Heading2"/>
      </w:pPr>
      <w:r>
        <w:t xml:space="preserve">Tone</w:t>
      </w:r>
    </w:p>
    <w:p>
      <w:pPr>
        <w:pStyle w:val="standard"/>
      </w:pPr>
      <w:r>
        <w:t xml:space="preserve">thoughtful, reflective, professional, challenging</w:t>
      </w:r>
    </w:p>
    <w:p>
      <w:pPr>
        <w:pStyle w:val="Heading2"/>
      </w:pPr>
      <w:r>
        <w:t xml:space="preserve">Audience</w:t>
      </w:r>
    </w:p>
    <w:p>
      <w:pPr>
        <w:pStyle w:val="standard"/>
      </w:pPr>
      <w:r>
        <w:t xml:space="preserve">UniServ Directors and Organizers working with NEA members in public schools and universities.</w:t>
      </w:r>
    </w:p>
    <w:p>
      <w:pPr>
        <w:pStyle w:val="Heading2"/>
      </w:pPr>
      <w:r>
        <w:t xml:space="preserve">Goals</w:t>
      </w:r>
    </w:p>
    <w:p>
      <w:pPr>
        <w:pStyle w:val="standard"/>
      </w:pPr>
      <w:r>
        <w:t xml:space="preserve">Learners will critically assess current trends in organizing, challenges and opportunities for unions, and envision potential futures for NEA-affiliated unions over the next decade.</w:t>
      </w:r>
    </w:p>
    <w:p>
      <w:pPr>
        <w:pStyle w:val="standard"/>
      </w:pPr>
    </w:p>
    <w:p>
      <w:pPr>
        <w:pStyle w:val="Heading1"/>
      </w:pPr>
      <w:r>
        <w:t xml:space="preserve">LEARNING OBJECTIVES</w:t>
      </w:r>
    </w:p>
    <w:p>
      <w:pPr>
        <w:pStyle w:val="standard-bold"/>
        <w:numPr>
          <w:ilvl w:val="0"/>
          <w:numId w:val="2"/>
        </w:numPr>
      </w:pPr>
      <w:r>
        <w:t xml:space="preserve">Identify key challenges and trends affecting union strength and organizing in public education.</w:t>
      </w:r>
    </w:p>
    <w:p>
      <w:pPr>
        <w:pStyle w:val="standard-bold"/>
        <w:numPr>
          <w:ilvl w:val="0"/>
          <w:numId w:val="2"/>
        </w:numPr>
      </w:pPr>
      <w:r>
        <w:t xml:space="preserve">Analyze the impact of current economic, political, and social factors on union membership and activism.</w:t>
      </w:r>
    </w:p>
    <w:p>
      <w:pPr>
        <w:pStyle w:val="standard-bold"/>
        <w:numPr>
          <w:ilvl w:val="0"/>
          <w:numId w:val="2"/>
        </w:numPr>
      </w:pPr>
      <w:r>
        <w:t xml:space="preserve">Evaluate digital organizing strategies and their effectiveness compared to traditional approaches.</w:t>
      </w:r>
    </w:p>
    <w:p>
      <w:pPr>
        <w:pStyle w:val="standard-bold"/>
        <w:numPr>
          <w:ilvl w:val="0"/>
          <w:numId w:val="2"/>
        </w:numPr>
      </w:pPr>
      <w:r>
        <w:t xml:space="preserve">Formulate thought-provoking questions and scenarios for strategic union planning.</w:t>
      </w:r>
    </w:p>
    <w:p>
      <w:pPr>
        <w:pStyle w:val="standard-bold"/>
        <w:numPr>
          <w:ilvl w:val="0"/>
          <w:numId w:val="2"/>
        </w:numPr>
      </w:pPr>
      <w:r>
        <w:t xml:space="preserve">Envision actionable pathways for building union power and equity in the next decade.</w:t>
      </w:r>
    </w:p>
    <w:p>
      <w:pPr>
        <w:pStyle w:val="Title"/>
        <w:pageBreakBefore/>
      </w:pPr>
      <w:r>
        <w:t xml:space="preserve">Course Outline</w:t>
      </w:r>
    </w:p>
    <w:p>
      <w:pPr>
        <w:pStyle w:val="standard"/>
      </w:pPr>
    </w:p>
    <w:p>
      <w:pPr>
        <w:pStyle w:val="Heading1"/>
      </w:pPr>
      <w:r>
        <w:t xml:space="preserve">OVERVIEW</w:t>
      </w:r>
    </w:p>
    <w:p>
      <w:pPr>
        <w:pStyle w:val="standard-bold"/>
      </w:pPr>
      <w:r>
        <w:t xml:space="preserve">Envisioning the Future: NEA Union Organizing in the Next Decade</w:t>
      </w:r>
    </w:p>
    <w:p>
      <w:pPr>
        <w:pStyle w:val="Heading2"/>
      </w:pPr>
      <w:r>
        <w:t xml:space="preserve">Description</w:t>
      </w:r>
    </w:p>
    <w:p>
      <w:pPr>
        <w:pStyle w:val="standard"/>
      </w:pPr>
      <w:r>
        <w:t xml:space="preserve">What will NEA union organizing look like ten years from now? Step into a future where public education and labor movements are rapidly evolving. This course invites UniServ Directors and Organizers to critically examine the challenges, opportunities, and transformative strategies shaping the future of NEA-affiliated unions. Through real-world scenarios, analysis of current trends, and thought-provoking questions, you'll explore how economic, political, and technological forces intersect with organizing. Prepare to envision actionable pathways that build union power, equity, and resilience for the years ahead.</w:t>
      </w:r>
    </w:p>
    <w:p>
      <w:pPr>
        <w:pStyle w:val="Heading2"/>
      </w:pPr>
      <w:r>
        <w:t xml:space="preserve">Lessons</w:t>
      </w:r>
    </w:p>
    <w:p>
      <w:pPr>
        <w:pStyle w:val="standard-bold"/>
        <w:numPr>
          <w:ilvl w:val="0"/>
          <w:numId w:val="3"/>
        </w:numPr>
        <w:spacing w:after="0"/>
      </w:pPr>
      <w:r>
        <w:t xml:space="preserve">Understanding Current Challenges and Trends in Public Sector Unions</w:t>
      </w:r>
    </w:p>
    <w:p>
      <w:pPr>
        <w:pStyle w:val="standard-bold"/>
        <w:numPr>
          <w:ilvl w:val="0"/>
          <w:numId w:val="3"/>
        </w:numPr>
        <w:spacing w:after="0"/>
      </w:pPr>
      <w:r>
        <w:t xml:space="preserve">The Impact of Economic, Political, and Social Forces on Union Organizing</w:t>
      </w:r>
    </w:p>
    <w:p>
      <w:pPr>
        <w:pStyle w:val="standard-bold"/>
        <w:numPr>
          <w:ilvl w:val="0"/>
          <w:numId w:val="3"/>
        </w:numPr>
        <w:spacing w:after="0"/>
      </w:pPr>
      <w:r>
        <w:t xml:space="preserve">Digital vs. Traditional Organizing: Strategies and Effectiveness</w:t>
      </w:r>
    </w:p>
    <w:p>
      <w:pPr>
        <w:pStyle w:val="standard-bold"/>
        <w:numPr>
          <w:ilvl w:val="0"/>
          <w:numId w:val="3"/>
        </w:numPr>
        <w:spacing w:after="0"/>
      </w:pPr>
      <w:r>
        <w:t xml:space="preserve">Strategic Foresight: Scenario Planning and Critical Questions for the Next Decade</w:t>
      </w:r>
    </w:p>
    <w:p>
      <w:pPr>
        <w:pStyle w:val="standard-bold"/>
        <w:numPr>
          <w:ilvl w:val="0"/>
          <w:numId w:val="3"/>
        </w:numPr>
        <w:spacing w:after="240"/>
      </w:pPr>
      <w:r>
        <w:t xml:space="preserve">Building Union Power and Equity: Actionable Pathways Forward</w:t>
      </w:r>
    </w:p>
    <w:p>
      <w:pPr>
        <w:pStyle w:val="standard"/>
      </w:pPr>
    </w:p>
    <w:p>
      <w:pPr>
        <w:pStyle w:val="Heading1"/>
      </w:pPr>
      <w:r>
        <w:t xml:space="preserve">LESSON #1</w:t>
      </w:r>
    </w:p>
    <w:p>
      <w:pPr>
        <w:pStyle w:val="standard-bold"/>
        <w:keepNext/>
      </w:pPr>
      <w:r>
        <w:t xml:space="preserve">Understanding Current Challenges and Trends in Public Sector Unions</w:t>
      </w:r>
    </w:p>
    <w:p>
      <w:pPr>
        <w:pStyle w:val="Heading2"/>
      </w:pPr>
      <w:r>
        <w:t xml:space="preserve">Description</w:t>
      </w:r>
    </w:p>
    <w:p>
      <w:pPr>
        <w:pStyle w:val="standard"/>
      </w:pPr>
      <w:r>
        <w:t xml:space="preserve">This lesson will introduce the major trends and challenges facing unions in public education today. It will cover declining union density, changing workforce demographics, legislative and legal barriers, and evolving public perceptions of unions. The lesson will begin with a review of recent data and narratives, drawing from provided articles and NEA core competencies to establish the present landscape. The lesson will conclude by prompting learners to consider how these factors might shape the future of union organizing.</w:t>
      </w:r>
    </w:p>
    <w:p>
      <w:pPr>
        <w:pStyle w:val="Heading2"/>
      </w:pPr>
      <w:r>
        <w:t xml:space="preserve">Key Topics</w:t>
      </w:r>
    </w:p>
    <w:p>
      <w:pPr>
        <w:pStyle w:val="standard-ital"/>
      </w:pPr>
      <w:r>
        <w:t xml:space="preserve">Union membership rates and trends, Legislative, legal, and economic barriers, Demographic and workforce shifts, Public perception and media narratives</w:t>
      </w:r>
    </w:p>
    <w:p>
      <w:pPr>
        <w:pStyle w:val="standard"/>
      </w:pPr>
    </w:p>
    <w:p>
      <w:pPr>
        <w:pStyle w:val="Heading1"/>
      </w:pPr>
      <w:r>
        <w:t xml:space="preserve">LESSON #2</w:t>
      </w:r>
    </w:p>
    <w:p>
      <w:pPr>
        <w:pStyle w:val="standard-bold"/>
        <w:keepNext/>
      </w:pPr>
      <w:r>
        <w:t xml:space="preserve">The Impact of Economic, Political, and Social Forces on Union Organizing</w:t>
      </w:r>
    </w:p>
    <w:p>
      <w:pPr>
        <w:pStyle w:val="Heading2"/>
      </w:pPr>
      <w:r>
        <w:t xml:space="preserve">Description</w:t>
      </w:r>
    </w:p>
    <w:p>
      <w:pPr>
        <w:pStyle w:val="standard"/>
      </w:pPr>
      <w:r>
        <w:t xml:space="preserve">This lesson will analyze how broader economic, political, and social forces influence union membership and activism in public education. It will draw on examples from recent organizing efforts, the 'Great Resignation,' and the role of collective bargaining rights. The lesson will guide instructional designers to frame discussions around the interplay of policy, labor market dynamics, and social justice, setting the stage for scenario planning in later lessons.</w:t>
      </w:r>
    </w:p>
    <w:p>
      <w:pPr>
        <w:pStyle w:val="Heading2"/>
      </w:pPr>
      <w:r>
        <w:t xml:space="preserve">Key Topics</w:t>
      </w:r>
    </w:p>
    <w:p>
      <w:pPr>
        <w:pStyle w:val="standard-ital"/>
      </w:pPr>
      <w:r>
        <w:t xml:space="preserve">Economic pressures and labor market changes, Political context and labor law, Social justice movements and racial equity, Case studies: responses to crisis and opportunity</w:t>
      </w:r>
    </w:p>
    <w:p>
      <w:pPr>
        <w:pStyle w:val="standard"/>
      </w:pPr>
    </w:p>
    <w:p>
      <w:pPr>
        <w:pStyle w:val="Heading1"/>
      </w:pPr>
      <w:r>
        <w:t xml:space="preserve">LESSON #3</w:t>
      </w:r>
    </w:p>
    <w:p>
      <w:pPr>
        <w:pStyle w:val="standard-bold"/>
        <w:keepNext/>
      </w:pPr>
      <w:r>
        <w:t xml:space="preserve">Digital vs. Traditional Organizing: Strategies and Effectiveness</w:t>
      </w:r>
    </w:p>
    <w:p>
      <w:pPr>
        <w:pStyle w:val="Heading2"/>
      </w:pPr>
      <w:r>
        <w:t xml:space="preserve">Description</w:t>
      </w:r>
    </w:p>
    <w:p>
      <w:pPr>
        <w:pStyle w:val="standard"/>
      </w:pPr>
      <w:r>
        <w:t xml:space="preserve">This lesson will evaluate the effectiveness of digital organizing strategies compared to traditional approaches. Using case studies from teacher strikes and union campaigns, it will explore how digital tools can enable or limit organizing efforts. Instructional designers are prompted to consider leadership structures, mobilization versus organization, and the role of digital platforms in building sustainable union power. The lesson will end with questions about the future integration of technology in organizing.</w:t>
      </w:r>
    </w:p>
    <w:p>
      <w:pPr>
        <w:pStyle w:val="Heading2"/>
      </w:pPr>
      <w:r>
        <w:t xml:space="preserve">Key Topics</w:t>
      </w:r>
    </w:p>
    <w:p>
      <w:pPr>
        <w:pStyle w:val="standard-ital"/>
      </w:pPr>
      <w:r>
        <w:t xml:space="preserve">Digital tools in union organizing (ICTs, social media, communication platforms), Case studies: successes and limitations of digital organizing, Leadership and decision-making in digital contexts, Balancing mobilization and organization</w:t>
      </w:r>
    </w:p>
    <w:p>
      <w:pPr>
        <w:pStyle w:val="standard"/>
      </w:pPr>
    </w:p>
    <w:p>
      <w:pPr>
        <w:pStyle w:val="Heading1"/>
      </w:pPr>
      <w:r>
        <w:t xml:space="preserve">LESSON #4</w:t>
      </w:r>
    </w:p>
    <w:p>
      <w:pPr>
        <w:pStyle w:val="standard-bold"/>
        <w:keepNext/>
      </w:pPr>
      <w:r>
        <w:t xml:space="preserve">Strategic Foresight: Scenario Planning and Critical Questions for the Next Decade</w:t>
      </w:r>
    </w:p>
    <w:p>
      <w:pPr>
        <w:pStyle w:val="Heading2"/>
      </w:pPr>
      <w:r>
        <w:t xml:space="preserve">Description</w:t>
      </w:r>
    </w:p>
    <w:p>
      <w:pPr>
        <w:pStyle w:val="standard"/>
      </w:pPr>
      <w:r>
        <w:t xml:space="preserve">This lesson will focus on scenario planning for the future of NEA-affiliated unions. Drawing on previous lessons, it will guide instructional designers to facilitate activities where learners generate and analyze possible future scenarios. The lesson will emphasize formulating critical questions, using power analysis, and identifying levers for change. It will also encourage the development of thought-provoking prompts that invite participants to envision both risks and opportunities in union strategy.</w:t>
      </w:r>
    </w:p>
    <w:p>
      <w:pPr>
        <w:pStyle w:val="Heading2"/>
      </w:pPr>
      <w:r>
        <w:t xml:space="preserve">Key Topics</w:t>
      </w:r>
    </w:p>
    <w:p>
      <w:pPr>
        <w:pStyle w:val="standard-ital"/>
      </w:pPr>
      <w:r>
        <w:t xml:space="preserve">Scenario planning and strategic foresight, Formulating critical questions for union futures, Power analysis and identifying key drivers, Exploring risks, opportunities, and inflection points</w:t>
      </w:r>
    </w:p>
    <w:p>
      <w:pPr>
        <w:pStyle w:val="standard"/>
      </w:pPr>
    </w:p>
    <w:p>
      <w:pPr>
        <w:pStyle w:val="Heading1"/>
      </w:pPr>
      <w:r>
        <w:t xml:space="preserve">LESSON #5</w:t>
      </w:r>
    </w:p>
    <w:p>
      <w:pPr>
        <w:pStyle w:val="standard-bold"/>
        <w:keepNext/>
      </w:pPr>
      <w:r>
        <w:t xml:space="preserve">Building Union Power and Equity: Actionable Pathways Forward</w:t>
      </w:r>
    </w:p>
    <w:p>
      <w:pPr>
        <w:pStyle w:val="Heading2"/>
      </w:pPr>
      <w:r>
        <w:t xml:space="preserve">Description</w:t>
      </w:r>
    </w:p>
    <w:p>
      <w:pPr>
        <w:pStyle w:val="standard"/>
      </w:pPr>
      <w:r>
        <w:t xml:space="preserve">This concluding lesson will synthesize insights from the course, focusing on actionable strategies for building union power and advancing equity over the next decade. The lesson will cover high-participation organizing, coalition-building, inclusive leadership development, and leveraging digital and traditional tactics. Instructional designers are encouraged to incorporate reflective prompts and collaborative exercises to help learners articulate their own visions and strategies for future organizing.</w:t>
      </w:r>
    </w:p>
    <w:p>
      <w:pPr>
        <w:pStyle w:val="Heading2"/>
      </w:pPr>
      <w:r>
        <w:t xml:space="preserve">Key Topics</w:t>
      </w:r>
    </w:p>
    <w:p>
      <w:pPr>
        <w:pStyle w:val="standard-ital"/>
      </w:pPr>
      <w:r>
        <w:t xml:space="preserve">High-participation and democratic organizing strategies, Coalition and community partnerships, Leadership development for equity and diversity, Action planning and envisioning next steps</w:t>
      </w:r>
    </w:p>
    <w:p>
      <w:pPr>
        <w:pStyle w:val="Title"/>
        <w:pageBreakBefore/>
      </w:pPr>
      <w:r>
        <w:t xml:space="preserve">Source Materials</w:t>
      </w:r>
    </w:p>
    <w:p>
      <w:pPr>
        <w:pStyle w:val="standard"/>
      </w:pPr>
    </w:p>
    <w:p>
      <w:pPr>
        <w:pStyle w:val="standard"/>
      </w:pPr>
      <w:r>
        <w:t xml:space="preserve">11.8  2022 UniServ Core Competencies.pdf</w:t>
      </w:r>
    </w:p>
    <w:p>
      <w:pPr>
        <w:pStyle w:val="standard"/>
      </w:pPr>
      <w:r>
        <w:t xml:space="preserve">11.9 Letter to a Young Organizer #2 _ The Forge.pdf</w:t>
      </w:r>
    </w:p>
    <w:p>
      <w:pPr>
        <w:pStyle w:val="standard"/>
      </w:pPr>
      <w:r>
        <w:t xml:space="preserve">12 You may have heard of the Union Boom.docx</w:t>
      </w:r>
    </w:p>
    <w:p>
      <w:pPr>
        <w:pStyle w:val="standard"/>
      </w:pPr>
      <w:r>
        <w:t xml:space="preserve">13HOWT~1.DOC</w:t>
      </w:r>
    </w:p>
    <w:p>
      <w:pPr>
        <w:pStyle w:val="standard"/>
      </w:pPr>
      <w:r>
        <w:t xml:space="preserve">14 Lacking Collective Bargaining Rights.docx</w:t>
      </w:r>
    </w:p>
    <w:p>
      <w:pPr>
        <w:pStyle w:val="standard"/>
      </w:pPr>
      <w:r>
        <w:t xml:space="preserve">15 Winning is only the start.pdf</w:t>
      </w:r>
    </w:p>
    <w:p>
      <w:pPr>
        <w:pStyle w:val="standard"/>
      </w:pPr>
      <w:r>
        <w:t xml:space="preserve">16 Can Digital Tools Be Used for Organizing Eric Blanc.docx</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6:09 PM 8/10/26</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2858DA0F-E8AD-4F0A-8F80-CEF3A79143B7}"/>
</file>

<file path=customXml/itemProps2.xml><?xml version="1.0" encoding="utf-8"?>
<ds:datastoreItem xmlns:ds="http://schemas.openxmlformats.org/officeDocument/2006/customXml" ds:itemID="{DF601294-7182-4D50-A791-B7C759AEBB64}"/>
</file>

<file path=customXml/itemProps3.xml><?xml version="1.0" encoding="utf-8"?>
<ds:datastoreItem xmlns:ds="http://schemas.openxmlformats.org/officeDocument/2006/customXml" ds:itemID="{C3666B76-51BD-4E73-9EE2-F42BC03383D0}"/>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2026-08-10T22:09:44Z</dcterms:created>
  <dcterms:modified xsi:type="dcterms:W3CDTF">2026-08-10T22:09:44Z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