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BC965" w14:textId="1E17A259" w:rsidR="00DC0473" w:rsidRPr="00CA2901" w:rsidRDefault="00F03097" w:rsidP="00F03097">
      <w:pPr>
        <w:rPr>
          <w:b/>
          <w:bCs/>
        </w:rPr>
      </w:pPr>
      <w:r w:rsidRPr="00CA2901">
        <w:rPr>
          <w:b/>
          <w:bCs/>
        </w:rPr>
        <w:t xml:space="preserve">DRAFT NLRB Election Process </w:t>
      </w:r>
      <w:r w:rsidR="00D43E0C" w:rsidRPr="00CA2901">
        <w:rPr>
          <w:b/>
          <w:bCs/>
        </w:rPr>
        <w:t>Course Details</w:t>
      </w:r>
      <w:r w:rsidR="00CE1C8D">
        <w:rPr>
          <w:b/>
          <w:bCs/>
        </w:rPr>
        <w:t xml:space="preserve"> 8/24/2026</w:t>
      </w:r>
    </w:p>
    <w:p w14:paraId="2F0C1CBD" w14:textId="77777777" w:rsidR="00F03097" w:rsidRDefault="00F03097" w:rsidP="00F03097"/>
    <w:p w14:paraId="57EBC96E" w14:textId="28C52AEA" w:rsidR="00DC0473" w:rsidRPr="00F03097" w:rsidRDefault="00D43E0C" w:rsidP="00F03097">
      <w:pPr>
        <w:rPr>
          <w:b/>
          <w:bCs/>
        </w:rPr>
      </w:pPr>
      <w:r w:rsidRPr="00F03097">
        <w:rPr>
          <w:b/>
          <w:bCs/>
        </w:rPr>
        <w:t>Goals</w:t>
      </w:r>
    </w:p>
    <w:p w14:paraId="57EBC96F" w14:textId="77777777" w:rsidR="00DC0473" w:rsidRPr="00F03097" w:rsidRDefault="00D43E0C" w:rsidP="00F03097">
      <w:r w:rsidRPr="00F03097">
        <w:t>Learners will be able to confidently navigate and manage each stage of the NLRB union election and recognition process, make strategic decisions for their organization, and ensure procedural compliance while advancing union representation goals.</w:t>
      </w:r>
    </w:p>
    <w:p w14:paraId="57EBC970" w14:textId="77777777" w:rsidR="00DC0473" w:rsidRPr="00F03097" w:rsidRDefault="00DC0473" w:rsidP="00F03097"/>
    <w:p w14:paraId="57EBC971" w14:textId="77777777" w:rsidR="00DC0473" w:rsidRPr="00F03097" w:rsidRDefault="00D43E0C" w:rsidP="00F03097">
      <w:pPr>
        <w:rPr>
          <w:b/>
          <w:bCs/>
        </w:rPr>
      </w:pPr>
      <w:r w:rsidRPr="00F03097">
        <w:rPr>
          <w:b/>
          <w:bCs/>
        </w:rPr>
        <w:t>LEARNING OBJECTIVES</w:t>
      </w:r>
    </w:p>
    <w:p w14:paraId="57EBC972" w14:textId="77777777" w:rsidR="00DC0473" w:rsidRPr="00F03097" w:rsidRDefault="00D43E0C" w:rsidP="00F03097">
      <w:pPr>
        <w:pStyle w:val="ListParagraph"/>
        <w:numPr>
          <w:ilvl w:val="0"/>
          <w:numId w:val="4"/>
        </w:numPr>
      </w:pPr>
      <w:r w:rsidRPr="00F03097">
        <w:t>Identify and describe the six key steps of the NLRB election process in plain language.</w:t>
      </w:r>
    </w:p>
    <w:p w14:paraId="57EBC973" w14:textId="77777777" w:rsidR="00DC0473" w:rsidRPr="00F03097" w:rsidRDefault="00D43E0C" w:rsidP="00F03097">
      <w:pPr>
        <w:pStyle w:val="ListParagraph"/>
        <w:numPr>
          <w:ilvl w:val="0"/>
          <w:numId w:val="4"/>
        </w:numPr>
      </w:pPr>
      <w:r w:rsidRPr="00F03097">
        <w:t>Interpret and apply relevant NLRB policies, regulations, and precedent cases to specific scenarios.</w:t>
      </w:r>
    </w:p>
    <w:p w14:paraId="57EBC974" w14:textId="77777777" w:rsidR="00DC0473" w:rsidRPr="00F03097" w:rsidRDefault="00D43E0C" w:rsidP="00F03097">
      <w:pPr>
        <w:pStyle w:val="ListParagraph"/>
        <w:numPr>
          <w:ilvl w:val="0"/>
          <w:numId w:val="4"/>
        </w:numPr>
      </w:pPr>
      <w:r w:rsidRPr="00F03097">
        <w:t>Recognize strategic decision points and procedural requirements critical to successful representation campaigns.</w:t>
      </w:r>
    </w:p>
    <w:p w14:paraId="57EBC975" w14:textId="77777777" w:rsidR="00DC0473" w:rsidRPr="00F03097" w:rsidRDefault="00D43E0C" w:rsidP="00F03097">
      <w:pPr>
        <w:pStyle w:val="ListParagraph"/>
        <w:numPr>
          <w:ilvl w:val="0"/>
          <w:numId w:val="4"/>
        </w:numPr>
      </w:pPr>
      <w:r w:rsidRPr="00F03097">
        <w:t>Explain the implications of recent Board rulings and changes in regulation (e.g., Cemex decision, blocking charge doctrine) for union strategy.</w:t>
      </w:r>
    </w:p>
    <w:p w14:paraId="57EBC976" w14:textId="77777777" w:rsidR="00DC0473" w:rsidRPr="00F03097" w:rsidRDefault="00D43E0C" w:rsidP="00F03097">
      <w:pPr>
        <w:pStyle w:val="ListParagraph"/>
        <w:numPr>
          <w:ilvl w:val="0"/>
          <w:numId w:val="4"/>
        </w:numPr>
      </w:pPr>
      <w:r w:rsidRPr="00F03097">
        <w:t>Prepare and submit legally sufficient documentation (authorization cards, petitions, statement of position, etc.) required at each stage.</w:t>
      </w:r>
    </w:p>
    <w:p w14:paraId="57EBC977" w14:textId="77777777" w:rsidR="00DC0473" w:rsidRPr="00F03097" w:rsidRDefault="00D43E0C" w:rsidP="00F03097">
      <w:pPr>
        <w:pStyle w:val="ListParagraph"/>
        <w:numPr>
          <w:ilvl w:val="0"/>
          <w:numId w:val="4"/>
        </w:numPr>
      </w:pPr>
      <w:r w:rsidRPr="00F03097">
        <w:t>Effectively communicate process steps and compliance needs to colleagues, members, and external partners.</w:t>
      </w:r>
    </w:p>
    <w:p w14:paraId="57EBC978" w14:textId="77777777" w:rsidR="00DC0473" w:rsidRPr="00F03097" w:rsidRDefault="00D43E0C" w:rsidP="00F03097">
      <w:pPr>
        <w:pStyle w:val="ListParagraph"/>
        <w:numPr>
          <w:ilvl w:val="0"/>
          <w:numId w:val="4"/>
        </w:numPr>
      </w:pPr>
      <w:r w:rsidRPr="00F03097">
        <w:t>Course Outline</w:t>
      </w:r>
    </w:p>
    <w:p w14:paraId="57EBC979" w14:textId="77777777" w:rsidR="00DC0473" w:rsidRPr="00F03097" w:rsidRDefault="00DC0473" w:rsidP="00F03097"/>
    <w:p w14:paraId="57EBC97A" w14:textId="77777777" w:rsidR="00DC0473" w:rsidRPr="00F03097" w:rsidRDefault="00D43E0C" w:rsidP="00F03097">
      <w:pPr>
        <w:rPr>
          <w:b/>
          <w:bCs/>
        </w:rPr>
      </w:pPr>
      <w:r w:rsidRPr="00F03097">
        <w:rPr>
          <w:b/>
          <w:bCs/>
        </w:rPr>
        <w:t>OVERVIEW</w:t>
      </w:r>
    </w:p>
    <w:p w14:paraId="50DCF175" w14:textId="77777777" w:rsidR="00F03097" w:rsidRDefault="00F03097" w:rsidP="00F03097"/>
    <w:p w14:paraId="57EBC97B" w14:textId="0A829AFD" w:rsidR="00DC0473" w:rsidRDefault="00F03097" w:rsidP="00F03097">
      <w:pPr>
        <w:rPr>
          <w:b/>
          <w:bCs/>
        </w:rPr>
      </w:pPr>
      <w:r w:rsidRPr="00F03097">
        <w:rPr>
          <w:b/>
          <w:bCs/>
        </w:rPr>
        <w:t xml:space="preserve">Title: </w:t>
      </w:r>
      <w:r w:rsidR="00D43E0C" w:rsidRPr="00F03097">
        <w:rPr>
          <w:b/>
          <w:bCs/>
        </w:rPr>
        <w:t xml:space="preserve">Mastering the NLRB Union Election </w:t>
      </w:r>
      <w:r w:rsidRPr="00F03097">
        <w:rPr>
          <w:b/>
          <w:bCs/>
        </w:rPr>
        <w:t>and</w:t>
      </w:r>
      <w:r w:rsidR="00D43E0C" w:rsidRPr="00F03097">
        <w:rPr>
          <w:b/>
          <w:bCs/>
        </w:rPr>
        <w:t xml:space="preserve"> Recognition Process: Strategy and Compliance</w:t>
      </w:r>
    </w:p>
    <w:p w14:paraId="0FE49357" w14:textId="77777777" w:rsidR="00F03097" w:rsidRPr="00F03097" w:rsidRDefault="00F03097" w:rsidP="00F03097">
      <w:pPr>
        <w:rPr>
          <w:b/>
          <w:bCs/>
        </w:rPr>
      </w:pPr>
    </w:p>
    <w:p w14:paraId="57EBC97C" w14:textId="77777777" w:rsidR="00DC0473" w:rsidRPr="00F03097" w:rsidRDefault="00D43E0C" w:rsidP="00F03097">
      <w:pPr>
        <w:rPr>
          <w:b/>
          <w:bCs/>
        </w:rPr>
      </w:pPr>
      <w:r w:rsidRPr="00F03097">
        <w:rPr>
          <w:b/>
          <w:bCs/>
        </w:rPr>
        <w:t>Description</w:t>
      </w:r>
    </w:p>
    <w:p w14:paraId="393E17C3" w14:textId="77777777" w:rsidR="00F03097" w:rsidRPr="00F03097" w:rsidRDefault="00F03097" w:rsidP="00F03097"/>
    <w:p w14:paraId="57EBC97D" w14:textId="77777777" w:rsidR="00DC0473" w:rsidRPr="00F03097" w:rsidRDefault="00D43E0C" w:rsidP="00F03097">
      <w:r w:rsidRPr="00F03097">
        <w:t>Are you ready to lead your union to victory in the NLRB election process? Whether you're a seasoned organizer or new to the world of labor relations, this course will demystify the complex steps of union recognition and elections under the National Labor Relations Board. You'll gain the confidence to navigate every phase, from collecting authorization cards to post-election certification, and understand how to turn regulatory knowledge into strategic advantage. With a focus on plain language, real-world sce</w:t>
      </w:r>
      <w:r w:rsidRPr="00F03097">
        <w:t>narios, and actionable insights, you'll be prepared to manage campaigns, ensure compliance, and make informed decisions that empower your members and organization.</w:t>
      </w:r>
    </w:p>
    <w:p w14:paraId="27107DD4" w14:textId="77777777" w:rsidR="00F03097" w:rsidRDefault="00F03097" w:rsidP="00F03097"/>
    <w:p w14:paraId="57EBC97E" w14:textId="1E225B2D" w:rsidR="00DC0473" w:rsidRPr="00F03097" w:rsidRDefault="00D43E0C" w:rsidP="00F03097">
      <w:pPr>
        <w:rPr>
          <w:b/>
          <w:bCs/>
        </w:rPr>
      </w:pPr>
      <w:r w:rsidRPr="00F03097">
        <w:rPr>
          <w:b/>
          <w:bCs/>
        </w:rPr>
        <w:t>Lessons</w:t>
      </w:r>
    </w:p>
    <w:p w14:paraId="57EBC97F" w14:textId="77777777" w:rsidR="00DC0473" w:rsidRPr="00F03097" w:rsidRDefault="00D43E0C" w:rsidP="00F03097">
      <w:r w:rsidRPr="00F03097">
        <w:t>Introduction: The NLRB Election Landscape and Its Strategic Importance</w:t>
      </w:r>
    </w:p>
    <w:p w14:paraId="57EBC980" w14:textId="77777777" w:rsidR="00DC0473" w:rsidRPr="00F03097" w:rsidRDefault="00D43E0C" w:rsidP="00F03097">
      <w:r w:rsidRPr="00F03097">
        <w:t>Step 1: Collecting Authorization Cards and Building Support</w:t>
      </w:r>
    </w:p>
    <w:p w14:paraId="57EBC981" w14:textId="77777777" w:rsidR="00DC0473" w:rsidRPr="00F03097" w:rsidRDefault="00D43E0C" w:rsidP="00F03097">
      <w:r w:rsidRPr="00F03097">
        <w:t>Step 2: Petitioning for Representation and Voluntary Recognition</w:t>
      </w:r>
    </w:p>
    <w:p w14:paraId="57EBC982" w14:textId="77777777" w:rsidR="00DC0473" w:rsidRPr="00F03097" w:rsidRDefault="00D43E0C" w:rsidP="00F03097">
      <w:r w:rsidRPr="00F03097">
        <w:t>Step 3: NLRB Investigation, Hearings, and Unit Determination</w:t>
      </w:r>
    </w:p>
    <w:p w14:paraId="57EBC983" w14:textId="77777777" w:rsidR="00DC0473" w:rsidRPr="00F03097" w:rsidRDefault="00D43E0C" w:rsidP="00F03097">
      <w:r w:rsidRPr="00F03097">
        <w:t>Step 4: Election Agreements, Voter Lists, and Campaign Rules</w:t>
      </w:r>
    </w:p>
    <w:p w14:paraId="57EBC984" w14:textId="77777777" w:rsidR="00DC0473" w:rsidRPr="00F03097" w:rsidRDefault="00D43E0C" w:rsidP="00F03097">
      <w:r w:rsidRPr="00F03097">
        <w:t>Step 5: Conducting the Secret-Ballot Election</w:t>
      </w:r>
    </w:p>
    <w:p w14:paraId="57EBC985" w14:textId="77777777" w:rsidR="00DC0473" w:rsidRPr="00F03097" w:rsidRDefault="00D43E0C" w:rsidP="00F03097">
      <w:r w:rsidRPr="00F03097">
        <w:t>Step 6: Counting Ballots, Objections, and Certification</w:t>
      </w:r>
    </w:p>
    <w:p w14:paraId="57EBC986" w14:textId="77777777" w:rsidR="00DC0473" w:rsidRPr="00F03097" w:rsidRDefault="00D43E0C" w:rsidP="00F03097">
      <w:r w:rsidRPr="00F03097">
        <w:t>Navigating Appeals, Board Review, and Blocking Charges</w:t>
      </w:r>
    </w:p>
    <w:p w14:paraId="57EBC987" w14:textId="77777777" w:rsidR="00DC0473" w:rsidRPr="00F03097" w:rsidRDefault="00D43E0C" w:rsidP="00F03097">
      <w:r w:rsidRPr="00F03097">
        <w:t>Documentation, Compliance, and Effective Communication</w:t>
      </w:r>
    </w:p>
    <w:p w14:paraId="57EBC988" w14:textId="77777777" w:rsidR="00DC0473" w:rsidRPr="00F03097" w:rsidRDefault="00D43E0C" w:rsidP="00F03097">
      <w:r w:rsidRPr="00F03097">
        <w:t>Strategic Decision-Making for Expanding Union Locals</w:t>
      </w:r>
    </w:p>
    <w:p w14:paraId="57EBC989" w14:textId="77777777" w:rsidR="00DC0473" w:rsidRPr="00F03097" w:rsidRDefault="00DC0473" w:rsidP="00F03097"/>
    <w:p w14:paraId="57EBC98A" w14:textId="77777777" w:rsidR="00DC0473" w:rsidRPr="00F03097" w:rsidRDefault="00D43E0C" w:rsidP="00F03097">
      <w:pPr>
        <w:rPr>
          <w:b/>
          <w:bCs/>
        </w:rPr>
      </w:pPr>
      <w:r w:rsidRPr="00F03097">
        <w:rPr>
          <w:b/>
          <w:bCs/>
        </w:rPr>
        <w:t>LESSON #1</w:t>
      </w:r>
    </w:p>
    <w:p w14:paraId="57EBC98B" w14:textId="77777777" w:rsidR="00DC0473" w:rsidRPr="00F03097" w:rsidRDefault="00D43E0C" w:rsidP="00F03097">
      <w:r w:rsidRPr="00F03097">
        <w:t>Introduction: The NLRB Election Landscape and Its Strategic Importance</w:t>
      </w:r>
    </w:p>
    <w:p w14:paraId="6FA911D9" w14:textId="77777777" w:rsidR="00F03097" w:rsidRDefault="00F03097" w:rsidP="00F03097"/>
    <w:p w14:paraId="57EBC98C" w14:textId="2047703A" w:rsidR="00DC0473" w:rsidRPr="00F03097" w:rsidRDefault="00D43E0C" w:rsidP="00F03097">
      <w:r w:rsidRPr="00F03097">
        <w:t>Description</w:t>
      </w:r>
    </w:p>
    <w:p w14:paraId="57EBC98D" w14:textId="77777777" w:rsidR="00DC0473" w:rsidRPr="00F03097" w:rsidRDefault="00D43E0C" w:rsidP="00F03097">
      <w:r w:rsidRPr="00F03097">
        <w:t xml:space="preserve">This lesson provides an overview of the NLRB election and recognition process, including its legal framework, strategic significance, and recent developments. It sets the stage for deeper exploration by outlining the key roles, regulatory authorities, and the importance </w:t>
      </w:r>
      <w:r w:rsidRPr="00F03097">
        <w:lastRenderedPageBreak/>
        <w:t>of procedural mastery for union leaders. The lesson concludes by connecting the process to broader union strategy and organizational growth.</w:t>
      </w:r>
    </w:p>
    <w:p w14:paraId="57EBC98E" w14:textId="77777777" w:rsidR="00DC0473" w:rsidRPr="00F03097" w:rsidRDefault="00D43E0C" w:rsidP="00F03097">
      <w:r w:rsidRPr="00F03097">
        <w:t>Key Topics</w:t>
      </w:r>
    </w:p>
    <w:p w14:paraId="57EBC98F" w14:textId="77777777" w:rsidR="00DC0473" w:rsidRPr="00F03097" w:rsidRDefault="00D43E0C" w:rsidP="00F03097">
      <w:r w:rsidRPr="00F03097">
        <w:t>Overview of NLRB jurisdiction and authority, Strategic importance of election processes for unions, Key stakeholders and decision-makers (Regional Directors, Board, affiliates), Recent regulatory changes and their implications</w:t>
      </w:r>
    </w:p>
    <w:p w14:paraId="57EBC990" w14:textId="77777777" w:rsidR="00DC0473" w:rsidRPr="00F03097" w:rsidRDefault="00DC0473" w:rsidP="00F03097"/>
    <w:p w14:paraId="57EBC991" w14:textId="77777777" w:rsidR="00DC0473" w:rsidRPr="00F03097" w:rsidRDefault="00D43E0C" w:rsidP="00F03097">
      <w:pPr>
        <w:rPr>
          <w:b/>
          <w:bCs/>
        </w:rPr>
      </w:pPr>
      <w:r w:rsidRPr="00F03097">
        <w:rPr>
          <w:b/>
          <w:bCs/>
        </w:rPr>
        <w:t>LESSON #2</w:t>
      </w:r>
    </w:p>
    <w:p w14:paraId="57EBC992" w14:textId="77777777" w:rsidR="00DC0473" w:rsidRPr="00F03097" w:rsidRDefault="00D43E0C" w:rsidP="00F03097">
      <w:r w:rsidRPr="00F03097">
        <w:t>Step 1: Collecting Authorization Cards and Building Support</w:t>
      </w:r>
    </w:p>
    <w:p w14:paraId="6AD24900" w14:textId="77777777" w:rsidR="00F03097" w:rsidRDefault="00F03097" w:rsidP="00F03097"/>
    <w:p w14:paraId="57EBC993" w14:textId="1DD0B591" w:rsidR="00DC0473" w:rsidRPr="00F03097" w:rsidRDefault="00D43E0C" w:rsidP="00F03097">
      <w:r w:rsidRPr="00F03097">
        <w:t>Description</w:t>
      </w:r>
    </w:p>
    <w:p w14:paraId="57EBC994" w14:textId="77777777" w:rsidR="00DC0473" w:rsidRPr="00F03097" w:rsidRDefault="00D43E0C" w:rsidP="00F03097">
      <w:r w:rsidRPr="00F03097">
        <w:t xml:space="preserve">This lesson breaks down the process of gathering signed union authorization cards, focusing on legal thresholds, best practices, and strategic considerations. It explains the difference between the minimum legal requirement and practical union goals, as well as confidentiality and credibility concerns. The lesson also addresses the implications of a strong showing of interest </w:t>
      </w:r>
      <w:proofErr w:type="gramStart"/>
      <w:r w:rsidRPr="00F03097">
        <w:t>for</w:t>
      </w:r>
      <w:proofErr w:type="gramEnd"/>
      <w:r w:rsidRPr="00F03097">
        <w:t xml:space="preserve"> subsequent steps.</w:t>
      </w:r>
    </w:p>
    <w:p w14:paraId="5CF660E8" w14:textId="77777777" w:rsidR="00F03097" w:rsidRDefault="00F03097" w:rsidP="00F03097"/>
    <w:p w14:paraId="57EBC995" w14:textId="209DB35B" w:rsidR="00DC0473" w:rsidRPr="00F03097" w:rsidRDefault="00D43E0C" w:rsidP="00F03097">
      <w:r w:rsidRPr="00F03097">
        <w:t>Key Topics</w:t>
      </w:r>
    </w:p>
    <w:p w14:paraId="57EBC996" w14:textId="77777777" w:rsidR="00DC0473" w:rsidRPr="00F03097" w:rsidRDefault="00D43E0C" w:rsidP="00F03097">
      <w:r w:rsidRPr="00F03097">
        <w:t xml:space="preserve">Legal requirements for authorization cards, </w:t>
      </w:r>
      <w:proofErr w:type="gramStart"/>
      <w:r w:rsidRPr="00F03097">
        <w:t>Best</w:t>
      </w:r>
      <w:proofErr w:type="gramEnd"/>
      <w:r w:rsidRPr="00F03097">
        <w:t xml:space="preserve"> practices for card collection and record-keeping, Impact on union credibility and campaign momentum, Strategic timing for proceeding to petition</w:t>
      </w:r>
    </w:p>
    <w:p w14:paraId="57EBC997" w14:textId="77777777" w:rsidR="00DC0473" w:rsidRPr="00F03097" w:rsidRDefault="00DC0473" w:rsidP="00F03097"/>
    <w:p w14:paraId="57EBC998" w14:textId="77777777" w:rsidR="00DC0473" w:rsidRPr="00F03097" w:rsidRDefault="00D43E0C" w:rsidP="00F03097">
      <w:pPr>
        <w:rPr>
          <w:b/>
          <w:bCs/>
        </w:rPr>
      </w:pPr>
      <w:r w:rsidRPr="00F03097">
        <w:rPr>
          <w:b/>
          <w:bCs/>
        </w:rPr>
        <w:t>LESSON #3</w:t>
      </w:r>
    </w:p>
    <w:p w14:paraId="57EBC999" w14:textId="77777777" w:rsidR="00DC0473" w:rsidRPr="00F03097" w:rsidRDefault="00D43E0C" w:rsidP="00F03097">
      <w:r w:rsidRPr="00F03097">
        <w:t>Step 2: Petitioning for Representation and Voluntary Recognition</w:t>
      </w:r>
    </w:p>
    <w:p w14:paraId="2BC43122" w14:textId="77777777" w:rsidR="00F03097" w:rsidRDefault="00F03097" w:rsidP="00F03097"/>
    <w:p w14:paraId="57EBC99A" w14:textId="14B62C0A" w:rsidR="00DC0473" w:rsidRPr="00F03097" w:rsidRDefault="00D43E0C" w:rsidP="00F03097">
      <w:r w:rsidRPr="00F03097">
        <w:t>Description</w:t>
      </w:r>
    </w:p>
    <w:p w14:paraId="57EBC99B" w14:textId="77777777" w:rsidR="00DC0473" w:rsidRPr="00F03097" w:rsidRDefault="00D43E0C" w:rsidP="00F03097">
      <w:r w:rsidRPr="00F03097">
        <w:t>This lesson covers the petition process, including the preparation and filing of RC and RM petitions, and the nuances of seeking voluntary recognition from employers. It explores the documentation required, service on parties, and the strategic decision points related to employer responses, including the Cemex framework and its evolving legal context. The lesson highlights how these actions define the scope and trajectory of the campaign.</w:t>
      </w:r>
    </w:p>
    <w:p w14:paraId="57EBC99C" w14:textId="77777777" w:rsidR="00DC0473" w:rsidRPr="00F03097" w:rsidRDefault="00D43E0C" w:rsidP="00F03097">
      <w:r w:rsidRPr="00F03097">
        <w:t>Key Topics</w:t>
      </w:r>
    </w:p>
    <w:p w14:paraId="57EBC99D" w14:textId="77777777" w:rsidR="00DC0473" w:rsidRPr="00F03097" w:rsidRDefault="00D43E0C" w:rsidP="00F03097">
      <w:r w:rsidRPr="00F03097">
        <w:t>Types of petitions (RC, RM) and their requirements, Voluntary recognition: procedures and implications, The Cemex decision and current Board standards, Defining the bargaining unit and campaign strategy</w:t>
      </w:r>
    </w:p>
    <w:p w14:paraId="57EBC99E" w14:textId="77777777" w:rsidR="00DC0473" w:rsidRPr="00F03097" w:rsidRDefault="00DC0473" w:rsidP="00F03097"/>
    <w:p w14:paraId="57EBC99F" w14:textId="77777777" w:rsidR="00DC0473" w:rsidRPr="00F03097" w:rsidRDefault="00D43E0C" w:rsidP="00F03097">
      <w:pPr>
        <w:rPr>
          <w:b/>
          <w:bCs/>
        </w:rPr>
      </w:pPr>
      <w:r w:rsidRPr="00F03097">
        <w:rPr>
          <w:b/>
          <w:bCs/>
        </w:rPr>
        <w:t>LESSON #4</w:t>
      </w:r>
    </w:p>
    <w:p w14:paraId="57EBC9A0" w14:textId="77777777" w:rsidR="00DC0473" w:rsidRPr="00F03097" w:rsidRDefault="00D43E0C" w:rsidP="00F03097">
      <w:r w:rsidRPr="00F03097">
        <w:t>Step 3: NLRB Investigation, Hearings, and Unit Determination</w:t>
      </w:r>
    </w:p>
    <w:p w14:paraId="3D3AD2CF" w14:textId="77777777" w:rsidR="00F03097" w:rsidRDefault="00F03097" w:rsidP="00F03097"/>
    <w:p w14:paraId="57EBC9A1" w14:textId="7424A780" w:rsidR="00DC0473" w:rsidRPr="00F03097" w:rsidRDefault="00D43E0C" w:rsidP="00F03097">
      <w:r w:rsidRPr="00F03097">
        <w:t>Description</w:t>
      </w:r>
    </w:p>
    <w:p w14:paraId="57EBC9A2" w14:textId="77777777" w:rsidR="00DC0473" w:rsidRPr="00F03097" w:rsidRDefault="00D43E0C" w:rsidP="00F03097">
      <w:r w:rsidRPr="00F03097">
        <w:t>This lesson explains the Regional Director’s administrative investigation, threshold determinations, and the conduct of pre-election hearings. Learners will examine the process for determining jurisdiction, bargaining unit appropriateness, and eligibility disputes, as well as the doctrine of limited litigation and deferral of non-outcome-determinative issues. The lesson emphasizes the importance of advocacy and evidence at this stage.</w:t>
      </w:r>
    </w:p>
    <w:p w14:paraId="305E89CE" w14:textId="77777777" w:rsidR="00F03097" w:rsidRDefault="00F03097" w:rsidP="00F03097"/>
    <w:p w14:paraId="57EBC9A3" w14:textId="4EF5377D" w:rsidR="00DC0473" w:rsidRPr="00F03097" w:rsidRDefault="00D43E0C" w:rsidP="00F03097">
      <w:r w:rsidRPr="00F03097">
        <w:t>Key Topics</w:t>
      </w:r>
    </w:p>
    <w:p w14:paraId="57EBC9A4" w14:textId="77777777" w:rsidR="00DC0473" w:rsidRPr="00F03097" w:rsidRDefault="00D43E0C" w:rsidP="00F03097">
      <w:r w:rsidRPr="00F03097">
        <w:t xml:space="preserve">RD investigation and threshold issues, </w:t>
      </w:r>
      <w:proofErr w:type="gramStart"/>
      <w:r w:rsidRPr="00F03097">
        <w:t>Pre-election</w:t>
      </w:r>
      <w:proofErr w:type="gramEnd"/>
      <w:r w:rsidRPr="00F03097">
        <w:t xml:space="preserve"> hearing procedures and scope, Defining the bargaining unit and resolving disputes, Doctrine of limited litigation and deferral</w:t>
      </w:r>
    </w:p>
    <w:p w14:paraId="57EBC9A5" w14:textId="77777777" w:rsidR="00DC0473" w:rsidRPr="00F03097" w:rsidRDefault="00DC0473" w:rsidP="00F03097"/>
    <w:p w14:paraId="57EBC9A6" w14:textId="77777777" w:rsidR="00DC0473" w:rsidRPr="00F03097" w:rsidRDefault="00D43E0C" w:rsidP="00F03097">
      <w:pPr>
        <w:rPr>
          <w:b/>
          <w:bCs/>
        </w:rPr>
      </w:pPr>
      <w:r w:rsidRPr="00F03097">
        <w:rPr>
          <w:b/>
          <w:bCs/>
        </w:rPr>
        <w:t>LESSON #5</w:t>
      </w:r>
    </w:p>
    <w:p w14:paraId="57EBC9A7" w14:textId="77777777" w:rsidR="00DC0473" w:rsidRPr="00F03097" w:rsidRDefault="00D43E0C" w:rsidP="00F03097">
      <w:r w:rsidRPr="00F03097">
        <w:t>Step 4: Election Agreements, Voter Lists, and Campaign Rules</w:t>
      </w:r>
    </w:p>
    <w:p w14:paraId="06869592" w14:textId="77777777" w:rsidR="00F03097" w:rsidRDefault="00F03097" w:rsidP="00F03097"/>
    <w:p w14:paraId="57EBC9A8" w14:textId="0842D233" w:rsidR="00DC0473" w:rsidRPr="00F03097" w:rsidRDefault="00D43E0C" w:rsidP="00F03097">
      <w:r w:rsidRPr="00F03097">
        <w:t>Description</w:t>
      </w:r>
    </w:p>
    <w:p w14:paraId="57EBC9A9" w14:textId="77777777" w:rsidR="00DC0473" w:rsidRPr="00F03097" w:rsidRDefault="00D43E0C" w:rsidP="00F03097">
      <w:r w:rsidRPr="00F03097">
        <w:lastRenderedPageBreak/>
        <w:t>This lesson addresses the negotiation of election agreements, the logistics of election scheduling, and the preparation and review of Excelsior voter lists. It reviews the legal constraints on campaign conduct (TIPS rule) for both unions and employers and outlines how to ensure compliance and fairness during the campaign period. The lesson also discusses the strategic use of election agreements and list scrutiny.</w:t>
      </w:r>
    </w:p>
    <w:p w14:paraId="57EBC9AA" w14:textId="77777777" w:rsidR="00DC0473" w:rsidRPr="00F03097" w:rsidRDefault="00D43E0C" w:rsidP="00F03097">
      <w:r w:rsidRPr="00F03097">
        <w:t>Key Topics</w:t>
      </w:r>
    </w:p>
    <w:p w14:paraId="57EBC9AB" w14:textId="77777777" w:rsidR="00DC0473" w:rsidRPr="00F03097" w:rsidRDefault="00D43E0C" w:rsidP="00F03097">
      <w:r w:rsidRPr="00F03097">
        <w:t>Election agreements: formats and significance, Excelsior list requirements and review, Campaign rules and legal constraints (TIPS), Strategic considerations for campaign conduct</w:t>
      </w:r>
    </w:p>
    <w:p w14:paraId="57EBC9AC" w14:textId="77777777" w:rsidR="00DC0473" w:rsidRPr="00F03097" w:rsidRDefault="00DC0473" w:rsidP="00F03097"/>
    <w:p w14:paraId="57EBC9AD" w14:textId="77777777" w:rsidR="00DC0473" w:rsidRPr="00F03097" w:rsidRDefault="00D43E0C" w:rsidP="00F03097">
      <w:pPr>
        <w:rPr>
          <w:b/>
          <w:bCs/>
        </w:rPr>
      </w:pPr>
      <w:r w:rsidRPr="00F03097">
        <w:rPr>
          <w:b/>
          <w:bCs/>
        </w:rPr>
        <w:t>LESSON #6</w:t>
      </w:r>
    </w:p>
    <w:p w14:paraId="57EBC9AE" w14:textId="77777777" w:rsidR="00DC0473" w:rsidRPr="00F03097" w:rsidRDefault="00D43E0C" w:rsidP="00F03097">
      <w:r w:rsidRPr="00F03097">
        <w:t>Step 5: Conducting the Secret-Ballot Election</w:t>
      </w:r>
    </w:p>
    <w:p w14:paraId="57EBC9AF" w14:textId="77777777" w:rsidR="00DC0473" w:rsidRPr="00F03097" w:rsidRDefault="00D43E0C" w:rsidP="00F03097">
      <w:r w:rsidRPr="00F03097">
        <w:t>Description</w:t>
      </w:r>
    </w:p>
    <w:p w14:paraId="57EBC9B0" w14:textId="77777777" w:rsidR="00DC0473" w:rsidRPr="00F03097" w:rsidRDefault="00D43E0C" w:rsidP="00F03097">
      <w:r w:rsidRPr="00F03097">
        <w:t>This lesson details the mechanics of secret-ballot elections, including NLRB supervision, in-person vs. mail voting, and the role of observers. It covers the criteria for winning, procedures for challenging ballots, and the strategic importance of ballot integrity and observer roles. Emphasis is placed on ensuring a fair and transparent election process.</w:t>
      </w:r>
    </w:p>
    <w:p w14:paraId="6D87A7F2" w14:textId="77777777" w:rsidR="00F03097" w:rsidRDefault="00F03097" w:rsidP="00F03097"/>
    <w:p w14:paraId="57EBC9B1" w14:textId="21AFBA38" w:rsidR="00DC0473" w:rsidRPr="00F03097" w:rsidRDefault="00D43E0C" w:rsidP="00F03097">
      <w:r w:rsidRPr="00F03097">
        <w:t>Key Topics</w:t>
      </w:r>
    </w:p>
    <w:p w14:paraId="57EBC9B2" w14:textId="77777777" w:rsidR="00DC0473" w:rsidRPr="00F03097" w:rsidRDefault="00D43E0C" w:rsidP="00F03097">
      <w:r w:rsidRPr="00F03097">
        <w:t xml:space="preserve">Election logistics and NLRB supervision, Role of observers and ballot challenges, </w:t>
      </w:r>
      <w:proofErr w:type="gramStart"/>
      <w:r w:rsidRPr="00F03097">
        <w:t>Voting</w:t>
      </w:r>
      <w:proofErr w:type="gramEnd"/>
      <w:r w:rsidRPr="00F03097">
        <w:t xml:space="preserve"> methods and eligibility, Ensuring fairness and transparency in voting</w:t>
      </w:r>
    </w:p>
    <w:p w14:paraId="57EBC9B3" w14:textId="77777777" w:rsidR="00DC0473" w:rsidRPr="00F03097" w:rsidRDefault="00DC0473" w:rsidP="00F03097"/>
    <w:p w14:paraId="57EBC9B4" w14:textId="77777777" w:rsidR="00DC0473" w:rsidRPr="00F03097" w:rsidRDefault="00D43E0C" w:rsidP="00F03097">
      <w:pPr>
        <w:rPr>
          <w:b/>
          <w:bCs/>
        </w:rPr>
      </w:pPr>
      <w:r w:rsidRPr="00F03097">
        <w:rPr>
          <w:b/>
          <w:bCs/>
        </w:rPr>
        <w:t>LESSON #7</w:t>
      </w:r>
    </w:p>
    <w:p w14:paraId="57EBC9B5" w14:textId="77777777" w:rsidR="00DC0473" w:rsidRPr="00F03097" w:rsidRDefault="00D43E0C" w:rsidP="00F03097">
      <w:r w:rsidRPr="00F03097">
        <w:t>Step 6: Counting Ballots, Objections, and Certification</w:t>
      </w:r>
    </w:p>
    <w:p w14:paraId="57EBC9B6" w14:textId="77777777" w:rsidR="00DC0473" w:rsidRPr="00F03097" w:rsidRDefault="00D43E0C" w:rsidP="00F03097">
      <w:r w:rsidRPr="00F03097">
        <w:t>Description</w:t>
      </w:r>
    </w:p>
    <w:p w14:paraId="57EBC9B7" w14:textId="77777777" w:rsidR="00DC0473" w:rsidRPr="00F03097" w:rsidRDefault="00D43E0C" w:rsidP="00F03097">
      <w:r w:rsidRPr="00F03097">
        <w:t>This lesson walks through the post-election phase, including ballot tallying, handling objections and challenges, and the certification of results. It explains the timelines, documentation, and procedures for contesting election results, as well as the implications of certification for bargaining obligations and further legal actions. The lesson also covers the strategic use of objections and evidence preservation.</w:t>
      </w:r>
    </w:p>
    <w:p w14:paraId="53B6AA4A" w14:textId="77777777" w:rsidR="00F03097" w:rsidRDefault="00F03097" w:rsidP="00F03097"/>
    <w:p w14:paraId="57EBC9B8" w14:textId="06C8782A" w:rsidR="00DC0473" w:rsidRPr="00F03097" w:rsidRDefault="00D43E0C" w:rsidP="00F03097">
      <w:r w:rsidRPr="00F03097">
        <w:t>Key Topics</w:t>
      </w:r>
    </w:p>
    <w:p w14:paraId="57EBC9B9" w14:textId="77777777" w:rsidR="00DC0473" w:rsidRPr="00F03097" w:rsidRDefault="00D43E0C" w:rsidP="00F03097">
      <w:r w:rsidRPr="00F03097">
        <w:t>Ballot counting and tally procedures, Filing and resolving objections and challenges, Certification of results and legal consequences, Strategic implications for post-election actions</w:t>
      </w:r>
    </w:p>
    <w:p w14:paraId="57EBC9BA" w14:textId="77777777" w:rsidR="00DC0473" w:rsidRPr="00F03097" w:rsidRDefault="00DC0473" w:rsidP="00F03097"/>
    <w:p w14:paraId="57EBC9BB" w14:textId="77777777" w:rsidR="00DC0473" w:rsidRPr="00F03097" w:rsidRDefault="00D43E0C" w:rsidP="00F03097">
      <w:pPr>
        <w:rPr>
          <w:b/>
          <w:bCs/>
        </w:rPr>
      </w:pPr>
      <w:r w:rsidRPr="00F03097">
        <w:rPr>
          <w:b/>
          <w:bCs/>
        </w:rPr>
        <w:t>LESSON #8</w:t>
      </w:r>
    </w:p>
    <w:p w14:paraId="57EBC9BC" w14:textId="77777777" w:rsidR="00DC0473" w:rsidRPr="00F03097" w:rsidRDefault="00D43E0C" w:rsidP="00F03097">
      <w:r w:rsidRPr="00F03097">
        <w:t>Navigating Appeals, Board Review, and Blocking Charges</w:t>
      </w:r>
    </w:p>
    <w:p w14:paraId="74AB7C86" w14:textId="77777777" w:rsidR="00F03097" w:rsidRDefault="00F03097" w:rsidP="00F03097"/>
    <w:p w14:paraId="57EBC9BD" w14:textId="35D9840B" w:rsidR="00DC0473" w:rsidRPr="00F03097" w:rsidRDefault="00D43E0C" w:rsidP="00F03097">
      <w:r w:rsidRPr="00F03097">
        <w:t>Description</w:t>
      </w:r>
    </w:p>
    <w:p w14:paraId="57EBC9BE" w14:textId="77777777" w:rsidR="00DC0473" w:rsidRPr="00F03097" w:rsidRDefault="00D43E0C" w:rsidP="00F03097">
      <w:r w:rsidRPr="00F03097">
        <w:t>This lesson explores the mechanisms for appealing Regional Director decisions, including requests for Board review and their discretionary nature. It examines the blocking charge doctrine, its regulatory evolution, and its strategic use to delay or challenge election outcomes. The lesson provides guidance on when and how to leverage appeals and blocking charges to support union objectives.</w:t>
      </w:r>
    </w:p>
    <w:p w14:paraId="20EB87E1" w14:textId="77777777" w:rsidR="00F03097" w:rsidRDefault="00F03097" w:rsidP="00F03097"/>
    <w:p w14:paraId="57EBC9BF" w14:textId="466161A3" w:rsidR="00DC0473" w:rsidRPr="00F03097" w:rsidRDefault="00D43E0C" w:rsidP="00F03097">
      <w:r w:rsidRPr="00F03097">
        <w:t>Key Topics</w:t>
      </w:r>
    </w:p>
    <w:p w14:paraId="57EBC9C0" w14:textId="77777777" w:rsidR="00DC0473" w:rsidRPr="00F03097" w:rsidRDefault="00D43E0C" w:rsidP="00F03097">
      <w:r w:rsidRPr="00F03097">
        <w:t xml:space="preserve">Appeal procedures and Board review standards, </w:t>
      </w:r>
      <w:proofErr w:type="gramStart"/>
      <w:r w:rsidRPr="00F03097">
        <w:t>Blocking</w:t>
      </w:r>
      <w:proofErr w:type="gramEnd"/>
      <w:r w:rsidRPr="00F03097">
        <w:t xml:space="preserve"> charge doctrine and recent changes, Strategic use of appeals and blocking charges, Preserving issues for future litigation</w:t>
      </w:r>
    </w:p>
    <w:p w14:paraId="57EBC9C1" w14:textId="77777777" w:rsidR="00DC0473" w:rsidRPr="00F03097" w:rsidRDefault="00DC0473" w:rsidP="00F03097">
      <w:pPr>
        <w:rPr>
          <w:b/>
          <w:bCs/>
        </w:rPr>
      </w:pPr>
    </w:p>
    <w:p w14:paraId="57EBC9C2" w14:textId="77777777" w:rsidR="00DC0473" w:rsidRPr="00F03097" w:rsidRDefault="00D43E0C" w:rsidP="00F03097">
      <w:pPr>
        <w:rPr>
          <w:b/>
          <w:bCs/>
        </w:rPr>
      </w:pPr>
      <w:r w:rsidRPr="00F03097">
        <w:rPr>
          <w:b/>
          <w:bCs/>
        </w:rPr>
        <w:t>LESSON #9</w:t>
      </w:r>
    </w:p>
    <w:p w14:paraId="57EBC9C3" w14:textId="77777777" w:rsidR="00DC0473" w:rsidRPr="00F03097" w:rsidRDefault="00D43E0C" w:rsidP="00F03097">
      <w:r w:rsidRPr="00F03097">
        <w:t>Documentation, Compliance, and Effective Communication</w:t>
      </w:r>
    </w:p>
    <w:p w14:paraId="1789795E" w14:textId="77777777" w:rsidR="00F03097" w:rsidRDefault="00F03097" w:rsidP="00F03097"/>
    <w:p w14:paraId="57EBC9C4" w14:textId="71D51B69" w:rsidR="00DC0473" w:rsidRPr="00F03097" w:rsidRDefault="00D43E0C" w:rsidP="00F03097">
      <w:r w:rsidRPr="00F03097">
        <w:t>Description</w:t>
      </w:r>
    </w:p>
    <w:p w14:paraId="57EBC9C5" w14:textId="77777777" w:rsidR="00DC0473" w:rsidRPr="00F03097" w:rsidRDefault="00D43E0C" w:rsidP="00F03097">
      <w:r w:rsidRPr="00F03097">
        <w:t xml:space="preserve">This lesson focuses on the practical aspects of preparing and submitting all necessary documentation throughout the NLRB process, from authorization cards to statements of </w:t>
      </w:r>
      <w:r w:rsidRPr="00F03097">
        <w:lastRenderedPageBreak/>
        <w:t>position and voter lists. It also addresses the importance of accurate, timely, and effective communication with members, colleagues, and external partners to ensure compliance and campaign success. The lesson concludes with tips for building institutional knowledge and best practices for documentation.</w:t>
      </w:r>
    </w:p>
    <w:p w14:paraId="69A3A798" w14:textId="77777777" w:rsidR="00F03097" w:rsidRDefault="00F03097" w:rsidP="00F03097"/>
    <w:p w14:paraId="57EBC9C6" w14:textId="579E294F" w:rsidR="00DC0473" w:rsidRPr="00F03097" w:rsidRDefault="00D43E0C" w:rsidP="00F03097">
      <w:r w:rsidRPr="00F03097">
        <w:t>Key Topics</w:t>
      </w:r>
    </w:p>
    <w:p w14:paraId="57EBC9C7" w14:textId="77777777" w:rsidR="00DC0473" w:rsidRPr="00F03097" w:rsidRDefault="00D43E0C" w:rsidP="00F03097">
      <w:r w:rsidRPr="00F03097">
        <w:t xml:space="preserve">Preparing and submitting required documents, </w:t>
      </w:r>
      <w:proofErr w:type="gramStart"/>
      <w:r w:rsidRPr="00F03097">
        <w:t>Ensuring</w:t>
      </w:r>
      <w:proofErr w:type="gramEnd"/>
      <w:r w:rsidRPr="00F03097">
        <w:t xml:space="preserve"> procedural compliance, Effective communication strategies, Building institutional knowledge and record-keeping</w:t>
      </w:r>
    </w:p>
    <w:p w14:paraId="57EBC9C8" w14:textId="77777777" w:rsidR="00DC0473" w:rsidRPr="00F03097" w:rsidRDefault="00DC0473" w:rsidP="00F03097"/>
    <w:p w14:paraId="57EBC9C9" w14:textId="77777777" w:rsidR="00DC0473" w:rsidRPr="00F03097" w:rsidRDefault="00D43E0C" w:rsidP="00F03097">
      <w:pPr>
        <w:rPr>
          <w:b/>
          <w:bCs/>
        </w:rPr>
      </w:pPr>
      <w:r w:rsidRPr="00F03097">
        <w:rPr>
          <w:b/>
          <w:bCs/>
        </w:rPr>
        <w:t>LESSON #10</w:t>
      </w:r>
    </w:p>
    <w:p w14:paraId="57EBC9CA" w14:textId="77777777" w:rsidR="00DC0473" w:rsidRPr="00F03097" w:rsidRDefault="00D43E0C" w:rsidP="00F03097">
      <w:r w:rsidRPr="00F03097">
        <w:t>Strategic Decision-Making for Expanding Union Locals</w:t>
      </w:r>
    </w:p>
    <w:p w14:paraId="2F1A44DE" w14:textId="77777777" w:rsidR="00F03097" w:rsidRDefault="00F03097" w:rsidP="00F03097"/>
    <w:p w14:paraId="57EBC9CB" w14:textId="1001C61F" w:rsidR="00DC0473" w:rsidRPr="00F03097" w:rsidRDefault="00D43E0C" w:rsidP="00F03097">
      <w:r w:rsidRPr="00F03097">
        <w:t>Description</w:t>
      </w:r>
    </w:p>
    <w:p w14:paraId="57EBC9CC" w14:textId="77777777" w:rsidR="00DC0473" w:rsidRPr="00F03097" w:rsidRDefault="00D43E0C" w:rsidP="00F03097">
      <w:r w:rsidRPr="00F03097">
        <w:t>This capstone lesson synthesizes the procedural and strategic content of prior lessons, focusing on how union leaders can leverage their mastery of the NLRB process for organizational growth. It covers scenario-based analysis, proactive planning, and evaluation of opportunities and risks in expanding locals through the election and recognition process. The lesson emphasizes aligning strategy with organizational goals and adapting to regulatory changes.</w:t>
      </w:r>
    </w:p>
    <w:p w14:paraId="3C7B0C93" w14:textId="77777777" w:rsidR="00F03097" w:rsidRDefault="00F03097" w:rsidP="00F03097"/>
    <w:p w14:paraId="57EBC9CD" w14:textId="1AC6175D" w:rsidR="00DC0473" w:rsidRPr="00F03097" w:rsidRDefault="00D43E0C" w:rsidP="00F03097">
      <w:r w:rsidRPr="00F03097">
        <w:t>Key Topics</w:t>
      </w:r>
    </w:p>
    <w:p w14:paraId="57EBC9CE" w14:textId="77777777" w:rsidR="00DC0473" w:rsidRPr="00F03097" w:rsidRDefault="00D43E0C" w:rsidP="00F03097">
      <w:r w:rsidRPr="00F03097">
        <w:t>Scenario-based strategic analysis, Risk assessment and opportunity evaluation, Aligning NLRB process mastery with growth strategies, Adapting to regulatory and legal developments</w:t>
      </w:r>
    </w:p>
    <w:p w14:paraId="57EBC9CF" w14:textId="77777777" w:rsidR="00DC0473" w:rsidRPr="00F03097" w:rsidRDefault="00D43E0C" w:rsidP="00F03097">
      <w:r w:rsidRPr="00F03097">
        <w:t>Source Materials</w:t>
      </w:r>
    </w:p>
    <w:p w14:paraId="57EBC9D0" w14:textId="77777777" w:rsidR="00DC0473" w:rsidRPr="00F03097" w:rsidRDefault="00DC0473" w:rsidP="00F03097"/>
    <w:p w14:paraId="57EBC9D2" w14:textId="6A753187" w:rsidR="00DC0473" w:rsidRPr="00F03097" w:rsidRDefault="00DC0473" w:rsidP="00F03097"/>
    <w:sectPr w:rsidR="00DC0473" w:rsidRPr="00F0309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F2E6B" w14:textId="77777777" w:rsidR="00D43E0C" w:rsidRDefault="00D43E0C">
      <w:r>
        <w:separator/>
      </w:r>
    </w:p>
  </w:endnote>
  <w:endnote w:type="continuationSeparator" w:id="0">
    <w:p w14:paraId="297EBEB8" w14:textId="77777777" w:rsidR="00D43E0C" w:rsidRDefault="00D43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4D7E3" w14:textId="77777777" w:rsidR="00D43E0C" w:rsidRDefault="00D43E0C">
      <w:r>
        <w:separator/>
      </w:r>
    </w:p>
  </w:footnote>
  <w:footnote w:type="continuationSeparator" w:id="0">
    <w:p w14:paraId="003E701E" w14:textId="77777777" w:rsidR="00D43E0C" w:rsidRDefault="00D43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31C8"/>
    <w:multiLevelType w:val="hybridMultilevel"/>
    <w:tmpl w:val="FD1233F0"/>
    <w:lvl w:ilvl="0" w:tplc="F3AEDA44">
      <w:start w:val="1"/>
      <w:numFmt w:val="bullet"/>
      <w:lvlText w:val="●"/>
      <w:lvlJc w:val="left"/>
      <w:pPr>
        <w:ind w:left="720" w:hanging="360"/>
      </w:pPr>
    </w:lvl>
    <w:lvl w:ilvl="1" w:tplc="E376AB80">
      <w:start w:val="1"/>
      <w:numFmt w:val="bullet"/>
      <w:lvlText w:val="○"/>
      <w:lvlJc w:val="left"/>
      <w:pPr>
        <w:ind w:left="1440" w:hanging="360"/>
      </w:pPr>
    </w:lvl>
    <w:lvl w:ilvl="2" w:tplc="BA48CBD8">
      <w:start w:val="1"/>
      <w:numFmt w:val="bullet"/>
      <w:lvlText w:val="■"/>
      <w:lvlJc w:val="left"/>
      <w:pPr>
        <w:ind w:left="2160" w:hanging="360"/>
      </w:pPr>
    </w:lvl>
    <w:lvl w:ilvl="3" w:tplc="CC7A1D56">
      <w:start w:val="1"/>
      <w:numFmt w:val="bullet"/>
      <w:lvlText w:val="●"/>
      <w:lvlJc w:val="left"/>
      <w:pPr>
        <w:ind w:left="2880" w:hanging="360"/>
      </w:pPr>
    </w:lvl>
    <w:lvl w:ilvl="4" w:tplc="C220DD1A">
      <w:start w:val="1"/>
      <w:numFmt w:val="bullet"/>
      <w:lvlText w:val="○"/>
      <w:lvlJc w:val="left"/>
      <w:pPr>
        <w:ind w:left="3600" w:hanging="360"/>
      </w:pPr>
    </w:lvl>
    <w:lvl w:ilvl="5" w:tplc="B6E2AB68">
      <w:start w:val="1"/>
      <w:numFmt w:val="bullet"/>
      <w:lvlText w:val="■"/>
      <w:lvlJc w:val="left"/>
      <w:pPr>
        <w:ind w:left="4320" w:hanging="360"/>
      </w:pPr>
    </w:lvl>
    <w:lvl w:ilvl="6" w:tplc="5422F16E">
      <w:start w:val="1"/>
      <w:numFmt w:val="bullet"/>
      <w:lvlText w:val="●"/>
      <w:lvlJc w:val="left"/>
      <w:pPr>
        <w:ind w:left="5040" w:hanging="360"/>
      </w:pPr>
    </w:lvl>
    <w:lvl w:ilvl="7" w:tplc="99BE90F4">
      <w:start w:val="1"/>
      <w:numFmt w:val="bullet"/>
      <w:lvlText w:val="●"/>
      <w:lvlJc w:val="left"/>
      <w:pPr>
        <w:ind w:left="5760" w:hanging="360"/>
      </w:pPr>
    </w:lvl>
    <w:lvl w:ilvl="8" w:tplc="5A70092A">
      <w:start w:val="1"/>
      <w:numFmt w:val="bullet"/>
      <w:lvlText w:val="●"/>
      <w:lvlJc w:val="left"/>
      <w:pPr>
        <w:ind w:left="6480" w:hanging="360"/>
      </w:pPr>
    </w:lvl>
  </w:abstractNum>
  <w:abstractNum w:abstractNumId="1" w15:restartNumberingAfterBreak="0">
    <w:nsid w:val="3D300F4E"/>
    <w:multiLevelType w:val="hybridMultilevel"/>
    <w:tmpl w:val="95789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A55979"/>
    <w:multiLevelType w:val="hybridMultilevel"/>
    <w:tmpl w:val="A32E950A"/>
    <w:lvl w:ilvl="0" w:tplc="0C6ABEAE">
      <w:start w:val="1"/>
      <w:numFmt w:val="decimal"/>
      <w:lvlText w:val="%1."/>
      <w:lvlJc w:val="left"/>
      <w:pPr>
        <w:ind w:left="360" w:hanging="360"/>
      </w:pPr>
      <w:rPr>
        <w:rFonts w:ascii="Verdana" w:eastAsia="Verdana" w:hAnsi="Verdana" w:cs="Verdana" w:hint="default"/>
        <w:b/>
        <w:bCs/>
        <w:color w:val="0075CF"/>
        <w:sz w:val="22"/>
        <w:szCs w:val="22"/>
      </w:rPr>
    </w:lvl>
    <w:lvl w:ilvl="1" w:tplc="9C9EEC7C">
      <w:numFmt w:val="decimal"/>
      <w:lvlText w:val=""/>
      <w:lvlJc w:val="left"/>
    </w:lvl>
    <w:lvl w:ilvl="2" w:tplc="1AA0DBAE">
      <w:numFmt w:val="decimal"/>
      <w:lvlText w:val=""/>
      <w:lvlJc w:val="left"/>
    </w:lvl>
    <w:lvl w:ilvl="3" w:tplc="51A81638">
      <w:numFmt w:val="decimal"/>
      <w:lvlText w:val=""/>
      <w:lvlJc w:val="left"/>
    </w:lvl>
    <w:lvl w:ilvl="4" w:tplc="BEFEB34C">
      <w:numFmt w:val="decimal"/>
      <w:lvlText w:val=""/>
      <w:lvlJc w:val="left"/>
    </w:lvl>
    <w:lvl w:ilvl="5" w:tplc="092C2650">
      <w:numFmt w:val="decimal"/>
      <w:lvlText w:val=""/>
      <w:lvlJc w:val="left"/>
    </w:lvl>
    <w:lvl w:ilvl="6" w:tplc="3C62E034">
      <w:numFmt w:val="decimal"/>
      <w:lvlText w:val=""/>
      <w:lvlJc w:val="left"/>
    </w:lvl>
    <w:lvl w:ilvl="7" w:tplc="B900CBAC">
      <w:numFmt w:val="decimal"/>
      <w:lvlText w:val=""/>
      <w:lvlJc w:val="left"/>
    </w:lvl>
    <w:lvl w:ilvl="8" w:tplc="2CFC1E98">
      <w:numFmt w:val="decimal"/>
      <w:lvlText w:val=""/>
      <w:lvlJc w:val="left"/>
    </w:lvl>
  </w:abstractNum>
  <w:abstractNum w:abstractNumId="3" w15:restartNumberingAfterBreak="0">
    <w:nsid w:val="6F450A05"/>
    <w:multiLevelType w:val="hybridMultilevel"/>
    <w:tmpl w:val="4022D72E"/>
    <w:lvl w:ilvl="0" w:tplc="983CB756">
      <w:start w:val="1"/>
      <w:numFmt w:val="bullet"/>
      <w:lvlText w:val="•"/>
      <w:lvlJc w:val="left"/>
      <w:pPr>
        <w:spacing w:after="240"/>
        <w:ind w:left="360" w:hanging="360"/>
      </w:pPr>
      <w:rPr>
        <w:rFonts w:ascii="Verdana" w:eastAsia="Verdana" w:hAnsi="Verdana" w:cs="Verdana" w:hint="default"/>
        <w:color w:val="000000"/>
        <w:sz w:val="22"/>
        <w:szCs w:val="22"/>
      </w:rPr>
    </w:lvl>
    <w:lvl w:ilvl="1" w:tplc="D3CA939E">
      <w:numFmt w:val="decimal"/>
      <w:lvlText w:val=""/>
      <w:lvlJc w:val="left"/>
    </w:lvl>
    <w:lvl w:ilvl="2" w:tplc="B4BC2CCC">
      <w:numFmt w:val="decimal"/>
      <w:lvlText w:val=""/>
      <w:lvlJc w:val="left"/>
    </w:lvl>
    <w:lvl w:ilvl="3" w:tplc="1898093E">
      <w:numFmt w:val="decimal"/>
      <w:lvlText w:val=""/>
      <w:lvlJc w:val="left"/>
    </w:lvl>
    <w:lvl w:ilvl="4" w:tplc="08B8C132">
      <w:numFmt w:val="decimal"/>
      <w:lvlText w:val=""/>
      <w:lvlJc w:val="left"/>
    </w:lvl>
    <w:lvl w:ilvl="5" w:tplc="0CAEDB78">
      <w:numFmt w:val="decimal"/>
      <w:lvlText w:val=""/>
      <w:lvlJc w:val="left"/>
    </w:lvl>
    <w:lvl w:ilvl="6" w:tplc="265ACBB4">
      <w:numFmt w:val="decimal"/>
      <w:lvlText w:val=""/>
      <w:lvlJc w:val="left"/>
    </w:lvl>
    <w:lvl w:ilvl="7" w:tplc="46D83E94">
      <w:numFmt w:val="decimal"/>
      <w:lvlText w:val=""/>
      <w:lvlJc w:val="left"/>
    </w:lvl>
    <w:lvl w:ilvl="8" w:tplc="186C65DE">
      <w:numFmt w:val="decimal"/>
      <w:lvlText w:val=""/>
      <w:lvlJc w:val="left"/>
    </w:lvl>
  </w:abstractNum>
  <w:num w:numId="1" w16cid:durableId="713896026">
    <w:abstractNumId w:val="0"/>
    <w:lvlOverride w:ilvl="0">
      <w:startOverride w:val="1"/>
    </w:lvlOverride>
  </w:num>
  <w:num w:numId="2" w16cid:durableId="1833328695">
    <w:abstractNumId w:val="3"/>
    <w:lvlOverride w:ilvl="0">
      <w:startOverride w:val="1"/>
    </w:lvlOverride>
  </w:num>
  <w:num w:numId="3" w16cid:durableId="348679312">
    <w:abstractNumId w:val="2"/>
    <w:lvlOverride w:ilvl="0">
      <w:startOverride w:val="1"/>
    </w:lvlOverride>
  </w:num>
  <w:num w:numId="4" w16cid:durableId="839588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473"/>
    <w:rsid w:val="00A5447D"/>
    <w:rsid w:val="00CA2901"/>
    <w:rsid w:val="00CE1C8D"/>
    <w:rsid w:val="00D43E0C"/>
    <w:rsid w:val="00DC0473"/>
    <w:rsid w:val="00F03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C965"/>
  <w15:docId w15:val="{604CCF0B-2BC3-42DF-9DE6-280CA534B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 w:type="paragraph" w:styleId="Footer">
    <w:name w:val="footer"/>
    <w:basedOn w:val="Normal"/>
    <w:link w:val="FooterChar"/>
    <w:uiPriority w:val="99"/>
    <w:unhideWhenUsed/>
    <w:rsid w:val="00F03097"/>
    <w:pPr>
      <w:tabs>
        <w:tab w:val="center" w:pos="4680"/>
        <w:tab w:val="right" w:pos="9360"/>
      </w:tabs>
    </w:pPr>
  </w:style>
  <w:style w:type="character" w:customStyle="1" w:styleId="FooterChar">
    <w:name w:val="Footer Char"/>
    <w:basedOn w:val="DefaultParagraphFont"/>
    <w:link w:val="Footer"/>
    <w:uiPriority w:val="99"/>
    <w:rsid w:val="00F03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91C2DE9-4425-4246-A952-1605A2B22BAA}"/>
</file>

<file path=customXml/itemProps2.xml><?xml version="1.0" encoding="utf-8"?>
<ds:datastoreItem xmlns:ds="http://schemas.openxmlformats.org/officeDocument/2006/customXml" ds:itemID="{BC8E40EB-B12A-4CBE-B89C-164BB4C158F6}"/>
</file>

<file path=customXml/itemProps3.xml><?xml version="1.0" encoding="utf-8"?>
<ds:datastoreItem xmlns:ds="http://schemas.openxmlformats.org/officeDocument/2006/customXml" ds:itemID="{D391115D-08AF-4BC1-A6E5-997193492E92}"/>
</file>

<file path=docProps/app.xml><?xml version="1.0" encoding="utf-8"?>
<Properties xmlns="http://schemas.openxmlformats.org/officeDocument/2006/extended-properties" xmlns:vt="http://schemas.openxmlformats.org/officeDocument/2006/docPropsVTypes">
  <Template>Normal</Template>
  <TotalTime>5</TotalTime>
  <Pages>4</Pages>
  <Words>1407</Words>
  <Characters>8026</Characters>
  <Application>Microsoft Office Word</Application>
  <DocSecurity>0</DocSecurity>
  <Lines>66</Lines>
  <Paragraphs>18</Paragraphs>
  <ScaleCrop>false</ScaleCrop>
  <Company>NEA</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4</cp:revision>
  <dcterms:created xsi:type="dcterms:W3CDTF">2026-08-27T15:04:00Z</dcterms:created>
  <dcterms:modified xsi:type="dcterms:W3CDTF">2026-08-27T15:04:00Z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