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A9EAD" w14:textId="2BAC8399" w:rsidR="00BE1DFE" w:rsidRPr="00BE1DFE" w:rsidRDefault="00BE1DFE" w:rsidP="00BE1DFE">
      <w:r w:rsidRPr="00BE1DFE">
        <w:t>Transformational Recruitment Conversations</w:t>
      </w:r>
    </w:p>
    <w:p w14:paraId="7DD60CD7" w14:textId="77777777" w:rsidR="00BE1DFE" w:rsidRPr="00BE1DFE" w:rsidRDefault="00BE1DFE" w:rsidP="00BE1DFE"/>
    <w:p w14:paraId="7665DE88" w14:textId="2EE1CF4E" w:rsidR="00BE1DFE" w:rsidRPr="00BE1DFE" w:rsidRDefault="00BE1DFE" w:rsidP="00BE1DFE">
      <w:r>
        <w:t>Three messages that resonate with potential members</w:t>
      </w:r>
    </w:p>
    <w:p w14:paraId="3D16ED29" w14:textId="77777777" w:rsidR="00BE1DFE" w:rsidRPr="00BE1DFE" w:rsidRDefault="00BE1DFE" w:rsidP="00BE1DFE">
      <w:pPr>
        <w:numPr>
          <w:ilvl w:val="0"/>
          <w:numId w:val="2"/>
        </w:numPr>
      </w:pPr>
      <w:r w:rsidRPr="00BE1DFE">
        <w:t>Strength in numbers/we’re stronger together: We have x number of members here in our school district and we’re part of a national network of 3 million members. (This point could be in the prep too — like finding out how many members you have)</w:t>
      </w:r>
    </w:p>
    <w:p w14:paraId="33950B26" w14:textId="77777777" w:rsidR="00BE1DFE" w:rsidRPr="00BE1DFE" w:rsidRDefault="00BE1DFE" w:rsidP="00BE1DFE"/>
    <w:p w14:paraId="77D96EB1" w14:textId="77777777" w:rsidR="00BE1DFE" w:rsidRPr="00BE1DFE" w:rsidRDefault="00BE1DFE" w:rsidP="00BE1DFE">
      <w:pPr>
        <w:numPr>
          <w:ilvl w:val="0"/>
          <w:numId w:val="3"/>
        </w:numPr>
      </w:pPr>
      <w:r w:rsidRPr="00BE1DFE">
        <w:t>Voice and Collective Bargaining: When we band together, we have a stronger voice for change.</w:t>
      </w:r>
    </w:p>
    <w:p w14:paraId="6B787DD9" w14:textId="77777777" w:rsidR="00BE1DFE" w:rsidRPr="00BE1DFE" w:rsidRDefault="00BE1DFE" w:rsidP="00BE1DFE"/>
    <w:p w14:paraId="0880F049" w14:textId="77777777" w:rsidR="00BE1DFE" w:rsidRPr="00BE1DFE" w:rsidRDefault="00BE1DFE" w:rsidP="00BE1DFE">
      <w:pPr>
        <w:numPr>
          <w:ilvl w:val="0"/>
          <w:numId w:val="4"/>
        </w:numPr>
      </w:pPr>
      <w:r w:rsidRPr="00BE1DFE">
        <w:t>Non-partisanship: We work with lawmakers from both sides of the aisle to find solutions for educators</w:t>
      </w:r>
    </w:p>
    <w:p w14:paraId="558EDD23" w14:textId="77777777" w:rsidR="00BE1DFE" w:rsidRPr="00BE1DFE" w:rsidRDefault="00BE1DFE" w:rsidP="00BE1DFE"/>
    <w:p w14:paraId="64C65F87" w14:textId="1141678D" w:rsidR="00BE1DFE" w:rsidRDefault="00BE1DFE" w:rsidP="00BE1DFE">
      <w:r>
        <w:t>Sometimes p</w:t>
      </w:r>
      <w:r w:rsidRPr="00BE1DFE">
        <w:t>otential members are confused about the union's rights and union’s power</w:t>
      </w:r>
      <w:r>
        <w:t xml:space="preserve"> in their states </w:t>
      </w:r>
      <w:r w:rsidRPr="00BE1DFE">
        <w:t>and many report not joining because of this confusion.</w:t>
      </w:r>
      <w:r>
        <w:t xml:space="preserve"> Many believe that unions are illegal in their state or that you are only a union if you bargain collectively.  Unions are simply groups of workers who decide to pool their collective resources</w:t>
      </w:r>
      <w:r w:rsidR="00970E4B">
        <w:t xml:space="preserve"> to work towards common goals. </w:t>
      </w:r>
      <w:r>
        <w:t xml:space="preserve">Unions for Public School employees are allowed in all 50 states. Collective </w:t>
      </w:r>
      <w:proofErr w:type="gramStart"/>
      <w:r>
        <w:t>bargaining however</w:t>
      </w:r>
      <w:proofErr w:type="gramEnd"/>
      <w:r>
        <w:t xml:space="preserve"> is broken into three legal frame works</w:t>
      </w:r>
      <w:r w:rsidR="00970E4B">
        <w:t xml:space="preserve">. </w:t>
      </w:r>
    </w:p>
    <w:p w14:paraId="747F717F" w14:textId="77777777" w:rsidR="00970E4B" w:rsidRPr="007F7F09" w:rsidRDefault="00970E4B" w:rsidP="00970E4B">
      <w:pPr>
        <w:numPr>
          <w:ilvl w:val="0"/>
          <w:numId w:val="1"/>
        </w:numPr>
      </w:pPr>
      <w:r w:rsidRPr="007F7F09">
        <w:rPr>
          <w:b/>
          <w:bCs/>
        </w:rPr>
        <w:t>Mandatory Bargaining States:</w:t>
      </w:r>
      <w:r w:rsidRPr="007F7F09">
        <w:t xml:space="preserve"> Concentrated primarily in the Northeast, Midwest, and West Coast. In these jurisdictions, if school employees vote to unionize, the employer is legally obligated to negotiate over wages, hours, and employment conditions.</w:t>
      </w:r>
    </w:p>
    <w:p w14:paraId="583204B4" w14:textId="77777777" w:rsidR="00970E4B" w:rsidRPr="007F7F09" w:rsidRDefault="00970E4B" w:rsidP="00970E4B">
      <w:pPr>
        <w:numPr>
          <w:ilvl w:val="0"/>
          <w:numId w:val="1"/>
        </w:numPr>
      </w:pPr>
      <w:r w:rsidRPr="007F7F09">
        <w:rPr>
          <w:b/>
          <w:bCs/>
        </w:rPr>
        <w:t>Permissive (Voluntary) Bargaining States:</w:t>
      </w:r>
      <w:r w:rsidRPr="007F7F09">
        <w:t xml:space="preserve"> The legal code does not enforce a mandate, but individual school districts and labor organizations can choose to negotiate by mutual agreement. Missouri falls here by judicial precedent rather than statute. Tennessee uses a restricted alternative model known as "collaborative conferencing" limited strictly to wages and salaries.</w:t>
      </w:r>
    </w:p>
    <w:p w14:paraId="11EB5911" w14:textId="77777777" w:rsidR="00970E4B" w:rsidRDefault="00970E4B" w:rsidP="00970E4B">
      <w:pPr>
        <w:numPr>
          <w:ilvl w:val="0"/>
          <w:numId w:val="1"/>
        </w:numPr>
      </w:pPr>
      <w:r w:rsidRPr="007F7F09">
        <w:rPr>
          <w:b/>
          <w:bCs/>
        </w:rPr>
        <w:t>Prohibited Bargaining States:</w:t>
      </w:r>
      <w:r w:rsidRPr="007F7F09">
        <w:t xml:space="preserve"> Concentrated across the American South. State statutes or supreme court rulings explicitly make collective bargaining agreements illegal for public school personnel. Educators can still join advocacy associations but lack contractual negotiation authority.</w:t>
      </w:r>
    </w:p>
    <w:p w14:paraId="17C4917E" w14:textId="6B0E5F52" w:rsidR="00970E4B" w:rsidRPr="007F7F09" w:rsidRDefault="00970E4B" w:rsidP="00970E4B">
      <w:pPr>
        <w:ind w:left="360"/>
      </w:pPr>
      <w:r w:rsidRPr="007F7F09">
        <w:lastRenderedPageBreak/>
        <w:t xml:space="preserve">Collective bargaining frameworks for K-12 public school employees are heavily segmented by state laws. </w:t>
      </w:r>
      <w:r w:rsidRPr="007F7F09">
        <w:rPr>
          <w:b/>
          <w:bCs/>
        </w:rPr>
        <w:t>Thirty-four states and Washington, D.C. mandate collective bargaining</w:t>
      </w:r>
      <w:r w:rsidRPr="007F7F09">
        <w:t xml:space="preserve">, meaning school districts have a legal duty to negotiate in good faith. </w:t>
      </w:r>
      <w:r w:rsidRPr="007F7F09">
        <w:rPr>
          <w:b/>
          <w:bCs/>
        </w:rPr>
        <w:t>Ten states treat bargaining as permissive (voluntary)</w:t>
      </w:r>
      <w:r w:rsidRPr="007F7F09">
        <w:t xml:space="preserve"> at the individual school board's discretion, while </w:t>
      </w:r>
      <w:r w:rsidRPr="007F7F09">
        <w:rPr>
          <w:b/>
          <w:bCs/>
        </w:rPr>
        <w:t>six Southern states explicitly prohibit collective bargaining</w:t>
      </w:r>
      <w:r w:rsidRPr="007F7F09">
        <w:t xml:space="preserve"> for public education workers.</w:t>
      </w:r>
    </w:p>
    <w:p w14:paraId="189DB041" w14:textId="05AB79EE" w:rsidR="00970E4B" w:rsidRPr="00BE1DFE" w:rsidRDefault="00970E4B" w:rsidP="00BE1DFE"/>
    <w:p w14:paraId="294BB9C0" w14:textId="77777777" w:rsidR="00BE1DFE" w:rsidRPr="00BE1DFE" w:rsidRDefault="00BE1DFE" w:rsidP="00BE1DFE"/>
    <w:p w14:paraId="0E0BB669" w14:textId="210976ED" w:rsidR="00BE1DFE" w:rsidRDefault="00BE1DFE" w:rsidP="00970E4B">
      <w:pPr>
        <w:ind w:left="720"/>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0"/>
        <w:gridCol w:w="1089"/>
        <w:gridCol w:w="2561"/>
        <w:gridCol w:w="4440"/>
      </w:tblGrid>
      <w:tr w:rsidR="00970E4B" w:rsidRPr="007F7F09" w14:paraId="2258A247" w14:textId="77777777" w:rsidTr="00607B03">
        <w:trPr>
          <w:tblCellSpacing w:w="15" w:type="dxa"/>
        </w:trPr>
        <w:tc>
          <w:tcPr>
            <w:tcW w:w="0" w:type="auto"/>
            <w:tcBorders>
              <w:bottom w:val="single" w:sz="4" w:space="0" w:color="DCDFE5"/>
            </w:tcBorders>
            <w:vAlign w:val="center"/>
            <w:hideMark/>
          </w:tcPr>
          <w:p w14:paraId="53711C98" w14:textId="6C906111" w:rsidR="00970E4B" w:rsidRPr="007F7F09" w:rsidRDefault="00970E4B" w:rsidP="00607B03">
            <w:pPr>
              <w:rPr>
                <w:b/>
                <w:bCs/>
              </w:rPr>
            </w:pPr>
            <w:r w:rsidRPr="007F7F09">
              <w:rPr>
                <w:b/>
                <w:bCs/>
              </w:rPr>
              <w:t>Category</w:t>
            </w:r>
          </w:p>
        </w:tc>
        <w:tc>
          <w:tcPr>
            <w:tcW w:w="0" w:type="auto"/>
            <w:tcBorders>
              <w:bottom w:val="single" w:sz="4" w:space="0" w:color="DCDFE5"/>
            </w:tcBorders>
            <w:vAlign w:val="center"/>
            <w:hideMark/>
          </w:tcPr>
          <w:p w14:paraId="3562D201" w14:textId="77777777" w:rsidR="00970E4B" w:rsidRPr="007F7F09" w:rsidRDefault="00970E4B" w:rsidP="00607B03">
            <w:pPr>
              <w:rPr>
                <w:b/>
                <w:bCs/>
              </w:rPr>
            </w:pPr>
            <w:r w:rsidRPr="007F7F09">
              <w:rPr>
                <w:b/>
                <w:bCs/>
              </w:rPr>
              <w:t>State Count</w:t>
            </w:r>
          </w:p>
        </w:tc>
        <w:tc>
          <w:tcPr>
            <w:tcW w:w="0" w:type="auto"/>
            <w:tcBorders>
              <w:bottom w:val="single" w:sz="4" w:space="0" w:color="DCDFE5"/>
            </w:tcBorders>
            <w:vAlign w:val="center"/>
            <w:hideMark/>
          </w:tcPr>
          <w:p w14:paraId="2B1F4196" w14:textId="77777777" w:rsidR="00970E4B" w:rsidRPr="007F7F09" w:rsidRDefault="00970E4B" w:rsidP="00607B03">
            <w:pPr>
              <w:rPr>
                <w:b/>
                <w:bCs/>
              </w:rPr>
            </w:pPr>
            <w:r w:rsidRPr="007F7F09">
              <w:rPr>
                <w:b/>
                <w:bCs/>
              </w:rPr>
              <w:t>Regions</w:t>
            </w:r>
          </w:p>
        </w:tc>
        <w:tc>
          <w:tcPr>
            <w:tcW w:w="0" w:type="auto"/>
            <w:tcBorders>
              <w:bottom w:val="single" w:sz="4" w:space="0" w:color="DCDFE5"/>
            </w:tcBorders>
            <w:vAlign w:val="center"/>
            <w:hideMark/>
          </w:tcPr>
          <w:p w14:paraId="6923ED6F" w14:textId="77777777" w:rsidR="00970E4B" w:rsidRPr="007F7F09" w:rsidRDefault="00970E4B" w:rsidP="00607B03">
            <w:pPr>
              <w:rPr>
                <w:b/>
                <w:bCs/>
              </w:rPr>
            </w:pPr>
            <w:r w:rsidRPr="007F7F09">
              <w:rPr>
                <w:b/>
                <w:bCs/>
              </w:rPr>
              <w:t>Key Implications</w:t>
            </w:r>
          </w:p>
        </w:tc>
      </w:tr>
      <w:tr w:rsidR="00970E4B" w:rsidRPr="007F7F09" w14:paraId="415CA184" w14:textId="77777777" w:rsidTr="00607B03">
        <w:trPr>
          <w:tblCellSpacing w:w="15" w:type="dxa"/>
        </w:trPr>
        <w:tc>
          <w:tcPr>
            <w:tcW w:w="0" w:type="auto"/>
            <w:tcBorders>
              <w:bottom w:val="single" w:sz="4" w:space="0" w:color="DCDFE5"/>
            </w:tcBorders>
            <w:vAlign w:val="center"/>
            <w:hideMark/>
          </w:tcPr>
          <w:p w14:paraId="3D56474C" w14:textId="77777777" w:rsidR="00970E4B" w:rsidRPr="007F7F09" w:rsidRDefault="00970E4B" w:rsidP="00607B03">
            <w:r w:rsidRPr="007F7F09">
              <w:rPr>
                <w:b/>
                <w:bCs/>
              </w:rPr>
              <w:t>Mandatory</w:t>
            </w:r>
          </w:p>
        </w:tc>
        <w:tc>
          <w:tcPr>
            <w:tcW w:w="0" w:type="auto"/>
            <w:tcBorders>
              <w:bottom w:val="single" w:sz="4" w:space="0" w:color="DCDFE5"/>
            </w:tcBorders>
            <w:vAlign w:val="center"/>
            <w:hideMark/>
          </w:tcPr>
          <w:p w14:paraId="31FA0FB8" w14:textId="77777777" w:rsidR="00970E4B" w:rsidRPr="007F7F09" w:rsidRDefault="00970E4B" w:rsidP="00607B03">
            <w:r w:rsidRPr="007F7F09">
              <w:t>34 + D.C.</w:t>
            </w:r>
          </w:p>
        </w:tc>
        <w:tc>
          <w:tcPr>
            <w:tcW w:w="0" w:type="auto"/>
            <w:tcBorders>
              <w:bottom w:val="single" w:sz="4" w:space="0" w:color="DCDFE5"/>
            </w:tcBorders>
            <w:vAlign w:val="center"/>
            <w:hideMark/>
          </w:tcPr>
          <w:p w14:paraId="6139C8E7" w14:textId="77777777" w:rsidR="00970E4B" w:rsidRPr="007F7F09" w:rsidRDefault="00970E4B" w:rsidP="00607B03">
            <w:r w:rsidRPr="007F7F09">
              <w:t>Northeast, West Coast, Midwest</w:t>
            </w:r>
          </w:p>
        </w:tc>
        <w:tc>
          <w:tcPr>
            <w:tcW w:w="0" w:type="auto"/>
            <w:tcBorders>
              <w:bottom w:val="single" w:sz="4" w:space="0" w:color="DCDFE5"/>
            </w:tcBorders>
            <w:vAlign w:val="center"/>
            <w:hideMark/>
          </w:tcPr>
          <w:p w14:paraId="00DD3591" w14:textId="77777777" w:rsidR="00970E4B" w:rsidRPr="007F7F09" w:rsidRDefault="00970E4B" w:rsidP="00607B03">
            <w:r w:rsidRPr="007F7F09">
              <w:t>School districts must negotiate contracts in good faith.</w:t>
            </w:r>
          </w:p>
        </w:tc>
      </w:tr>
      <w:tr w:rsidR="00970E4B" w:rsidRPr="007F7F09" w14:paraId="64351E29" w14:textId="77777777" w:rsidTr="00607B03">
        <w:trPr>
          <w:tblCellSpacing w:w="15" w:type="dxa"/>
        </w:trPr>
        <w:tc>
          <w:tcPr>
            <w:tcW w:w="0" w:type="auto"/>
            <w:tcBorders>
              <w:bottom w:val="single" w:sz="4" w:space="0" w:color="DCDFE5"/>
            </w:tcBorders>
            <w:vAlign w:val="center"/>
            <w:hideMark/>
          </w:tcPr>
          <w:p w14:paraId="19AD1462" w14:textId="77777777" w:rsidR="00970E4B" w:rsidRPr="007F7F09" w:rsidRDefault="00970E4B" w:rsidP="00607B03">
            <w:r w:rsidRPr="007F7F09">
              <w:rPr>
                <w:b/>
                <w:bCs/>
              </w:rPr>
              <w:t>Permissive</w:t>
            </w:r>
          </w:p>
        </w:tc>
        <w:tc>
          <w:tcPr>
            <w:tcW w:w="0" w:type="auto"/>
            <w:tcBorders>
              <w:bottom w:val="single" w:sz="4" w:space="0" w:color="DCDFE5"/>
            </w:tcBorders>
            <w:vAlign w:val="center"/>
            <w:hideMark/>
          </w:tcPr>
          <w:p w14:paraId="1FF3A0DC" w14:textId="77777777" w:rsidR="00970E4B" w:rsidRPr="007F7F09" w:rsidRDefault="00970E4B" w:rsidP="00607B03">
            <w:r w:rsidRPr="007F7F09">
              <w:t>10</w:t>
            </w:r>
          </w:p>
        </w:tc>
        <w:tc>
          <w:tcPr>
            <w:tcW w:w="0" w:type="auto"/>
            <w:tcBorders>
              <w:bottom w:val="single" w:sz="4" w:space="0" w:color="DCDFE5"/>
            </w:tcBorders>
            <w:vAlign w:val="center"/>
            <w:hideMark/>
          </w:tcPr>
          <w:p w14:paraId="606EE6AB" w14:textId="77777777" w:rsidR="00970E4B" w:rsidRPr="007F7F09" w:rsidRDefault="00970E4B" w:rsidP="00607B03">
            <w:r w:rsidRPr="007F7F09">
              <w:t>Plains, Mountain West, Southwest</w:t>
            </w:r>
          </w:p>
        </w:tc>
        <w:tc>
          <w:tcPr>
            <w:tcW w:w="0" w:type="auto"/>
            <w:tcBorders>
              <w:bottom w:val="single" w:sz="4" w:space="0" w:color="DCDFE5"/>
            </w:tcBorders>
            <w:vAlign w:val="center"/>
            <w:hideMark/>
          </w:tcPr>
          <w:p w14:paraId="19942AA8" w14:textId="77777777" w:rsidR="00970E4B" w:rsidRPr="007F7F09" w:rsidRDefault="00970E4B" w:rsidP="00607B03">
            <w:r w:rsidRPr="007F7F09">
              <w:t>Bargaining is at the discretion of local school boards.</w:t>
            </w:r>
          </w:p>
        </w:tc>
      </w:tr>
      <w:tr w:rsidR="00970E4B" w:rsidRPr="007F7F09" w14:paraId="371536C9" w14:textId="77777777" w:rsidTr="00607B03">
        <w:trPr>
          <w:tblCellSpacing w:w="15" w:type="dxa"/>
        </w:trPr>
        <w:tc>
          <w:tcPr>
            <w:tcW w:w="0" w:type="auto"/>
            <w:tcBorders>
              <w:bottom w:val="nil"/>
            </w:tcBorders>
            <w:vAlign w:val="center"/>
            <w:hideMark/>
          </w:tcPr>
          <w:p w14:paraId="64D2EE66" w14:textId="77777777" w:rsidR="00970E4B" w:rsidRPr="007F7F09" w:rsidRDefault="00970E4B" w:rsidP="00607B03">
            <w:r w:rsidRPr="007F7F09">
              <w:rPr>
                <w:b/>
                <w:bCs/>
              </w:rPr>
              <w:t>Prohibited</w:t>
            </w:r>
          </w:p>
        </w:tc>
        <w:tc>
          <w:tcPr>
            <w:tcW w:w="0" w:type="auto"/>
            <w:tcBorders>
              <w:bottom w:val="nil"/>
            </w:tcBorders>
            <w:vAlign w:val="center"/>
            <w:hideMark/>
          </w:tcPr>
          <w:p w14:paraId="0B10A14A" w14:textId="77777777" w:rsidR="00970E4B" w:rsidRPr="007F7F09" w:rsidRDefault="00970E4B" w:rsidP="00607B03">
            <w:r w:rsidRPr="007F7F09">
              <w:t>6</w:t>
            </w:r>
          </w:p>
        </w:tc>
        <w:tc>
          <w:tcPr>
            <w:tcW w:w="0" w:type="auto"/>
            <w:tcBorders>
              <w:bottom w:val="nil"/>
            </w:tcBorders>
            <w:vAlign w:val="center"/>
            <w:hideMark/>
          </w:tcPr>
          <w:p w14:paraId="18084C62" w14:textId="77777777" w:rsidR="00970E4B" w:rsidRPr="007F7F09" w:rsidRDefault="00970E4B" w:rsidP="00607B03">
            <w:r w:rsidRPr="007F7F09">
              <w:t>Southeast, Southwest</w:t>
            </w:r>
          </w:p>
        </w:tc>
        <w:tc>
          <w:tcPr>
            <w:tcW w:w="0" w:type="auto"/>
            <w:tcBorders>
              <w:bottom w:val="nil"/>
            </w:tcBorders>
            <w:vAlign w:val="center"/>
            <w:hideMark/>
          </w:tcPr>
          <w:p w14:paraId="1166FD6F" w14:textId="77777777" w:rsidR="00970E4B" w:rsidRPr="007F7F09" w:rsidRDefault="00970E4B" w:rsidP="00607B03">
            <w:r w:rsidRPr="007F7F09">
              <w:t>Collective bargaining contracts are illegal by statute or case law.</w:t>
            </w:r>
          </w:p>
        </w:tc>
      </w:tr>
    </w:tbl>
    <w:p w14:paraId="4DE13312" w14:textId="77777777" w:rsidR="00970E4B" w:rsidRPr="00BE1DFE" w:rsidRDefault="00970E4B" w:rsidP="00970E4B"/>
    <w:p w14:paraId="174B2137" w14:textId="1E715E1A" w:rsidR="00BE1DFE" w:rsidRDefault="00970E4B">
      <w:r>
        <w:t xml:space="preserve">Organizers who are recruiting new members often get caught up in arguing about the “legal frameworks of unions” and arguing is not transformational.  A key message about this is that unions build power and achieve wins through several avenues.  Collective bargaining is a local policy, but there are other forms in which Unions influence working conditions – meet and consult processes or policy work at that legislative level.  There are more arenas in which decisions are made that </w:t>
      </w:r>
      <w:proofErr w:type="gramStart"/>
      <w:r>
        <w:t>effect</w:t>
      </w:r>
      <w:proofErr w:type="gramEnd"/>
      <w:r>
        <w:t xml:space="preserve"> workers and students than in a contract.</w:t>
      </w:r>
    </w:p>
    <w:p w14:paraId="27157D06" w14:textId="77777777" w:rsidR="00970E4B" w:rsidRDefault="00970E4B"/>
    <w:p w14:paraId="44DAAE5B" w14:textId="5B8A5597" w:rsidR="00970E4B" w:rsidRDefault="00970E4B">
      <w:r>
        <w:t xml:space="preserve">In collective bargaining </w:t>
      </w:r>
      <w:proofErr w:type="gramStart"/>
      <w:r>
        <w:t>states  focus</w:t>
      </w:r>
      <w:proofErr w:type="gramEnd"/>
      <w:r>
        <w:t xml:space="preserve"> your message:</w:t>
      </w:r>
    </w:p>
    <w:p w14:paraId="56F48121" w14:textId="77777777" w:rsidR="00970E4B" w:rsidRPr="00970E4B" w:rsidRDefault="00970E4B" w:rsidP="00970E4B">
      <w:r w:rsidRPr="00970E4B">
        <w:t xml:space="preserve">We have a legally protected right to </w:t>
      </w:r>
      <w:proofErr w:type="gramStart"/>
      <w:r w:rsidRPr="00970E4B">
        <w:t>negotiate for</w:t>
      </w:r>
      <w:proofErr w:type="gramEnd"/>
      <w:r w:rsidRPr="00970E4B">
        <w:t xml:space="preserve"> higher salaries and better working conditions for educators right here.</w:t>
      </w:r>
    </w:p>
    <w:p w14:paraId="2A55E15E" w14:textId="2B39B7CC" w:rsidR="00970E4B" w:rsidRDefault="00970E4B">
      <w:r>
        <w:t xml:space="preserve">In non-collective bargaining </w:t>
      </w:r>
      <w:proofErr w:type="gramStart"/>
      <w:r>
        <w:t xml:space="preserve">states </w:t>
      </w:r>
      <w:r w:rsidR="00AD31F9">
        <w:t xml:space="preserve"> focus</w:t>
      </w:r>
      <w:proofErr w:type="gramEnd"/>
      <w:r w:rsidR="00AD31F9">
        <w:t xml:space="preserve"> your message:</w:t>
      </w:r>
    </w:p>
    <w:p w14:paraId="20EFDB87" w14:textId="568D47DB" w:rsidR="00AD31F9" w:rsidRPr="00AD31F9" w:rsidRDefault="00AD31F9" w:rsidP="00AD31F9">
      <w:r w:rsidRPr="00AD31F9">
        <w:lastRenderedPageBreak/>
        <w:t>It all starts with advocating for higher salaries and better working conditions for educators right here. We do that in these ways</w:t>
      </w:r>
      <w:r>
        <w:t xml:space="preserve">… (examples might include meet and confer processes, influencing school board elections, advocating at the state legislature for better wages and working conditions) </w:t>
      </w:r>
    </w:p>
    <w:p w14:paraId="7F39A17C" w14:textId="77777777" w:rsidR="00AD31F9" w:rsidRDefault="00AD31F9"/>
    <w:sectPr w:rsidR="00AD3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583"/>
    <w:multiLevelType w:val="multilevel"/>
    <w:tmpl w:val="2B48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3970D6"/>
    <w:multiLevelType w:val="multilevel"/>
    <w:tmpl w:val="403A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FB0320"/>
    <w:multiLevelType w:val="multilevel"/>
    <w:tmpl w:val="2AFEC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160C88"/>
    <w:multiLevelType w:val="multilevel"/>
    <w:tmpl w:val="DEF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145BB6"/>
    <w:multiLevelType w:val="multilevel"/>
    <w:tmpl w:val="49C2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CE6158"/>
    <w:multiLevelType w:val="multilevel"/>
    <w:tmpl w:val="8038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885640">
    <w:abstractNumId w:val="5"/>
  </w:num>
  <w:num w:numId="2" w16cid:durableId="313023205">
    <w:abstractNumId w:val="1"/>
  </w:num>
  <w:num w:numId="3" w16cid:durableId="1972125852">
    <w:abstractNumId w:val="3"/>
  </w:num>
  <w:num w:numId="4" w16cid:durableId="1722048885">
    <w:abstractNumId w:val="4"/>
  </w:num>
  <w:num w:numId="5" w16cid:durableId="944270123">
    <w:abstractNumId w:val="0"/>
  </w:num>
  <w:num w:numId="6" w16cid:durableId="132260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F09"/>
    <w:rsid w:val="00046B32"/>
    <w:rsid w:val="004D205E"/>
    <w:rsid w:val="007A6F95"/>
    <w:rsid w:val="007F7F09"/>
    <w:rsid w:val="00970E4B"/>
    <w:rsid w:val="00AD31F9"/>
    <w:rsid w:val="00BE1DFE"/>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AFB9"/>
  <w15:chartTrackingRefBased/>
  <w15:docId w15:val="{7F6409FE-DC94-4254-9FA4-F27EC587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7F0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F7F0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F7F0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F7F0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F7F0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F7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F0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F7F0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F7F0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F7F0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F7F0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F7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F09"/>
    <w:rPr>
      <w:rFonts w:eastAsiaTheme="majorEastAsia" w:cstheme="majorBidi"/>
      <w:color w:val="272727" w:themeColor="text1" w:themeTint="D8"/>
    </w:rPr>
  </w:style>
  <w:style w:type="paragraph" w:styleId="Title">
    <w:name w:val="Title"/>
    <w:basedOn w:val="Normal"/>
    <w:next w:val="Normal"/>
    <w:link w:val="TitleChar"/>
    <w:uiPriority w:val="10"/>
    <w:qFormat/>
    <w:rsid w:val="007F7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F09"/>
    <w:pPr>
      <w:spacing w:before="160"/>
      <w:jc w:val="center"/>
    </w:pPr>
    <w:rPr>
      <w:i/>
      <w:iCs/>
      <w:color w:val="404040" w:themeColor="text1" w:themeTint="BF"/>
    </w:rPr>
  </w:style>
  <w:style w:type="character" w:customStyle="1" w:styleId="QuoteChar">
    <w:name w:val="Quote Char"/>
    <w:basedOn w:val="DefaultParagraphFont"/>
    <w:link w:val="Quote"/>
    <w:uiPriority w:val="29"/>
    <w:rsid w:val="007F7F09"/>
    <w:rPr>
      <w:i/>
      <w:iCs/>
      <w:color w:val="404040" w:themeColor="text1" w:themeTint="BF"/>
    </w:rPr>
  </w:style>
  <w:style w:type="paragraph" w:styleId="ListParagraph">
    <w:name w:val="List Paragraph"/>
    <w:basedOn w:val="Normal"/>
    <w:uiPriority w:val="34"/>
    <w:qFormat/>
    <w:rsid w:val="007F7F09"/>
    <w:pPr>
      <w:ind w:left="720"/>
      <w:contextualSpacing/>
    </w:pPr>
  </w:style>
  <w:style w:type="character" w:styleId="IntenseEmphasis">
    <w:name w:val="Intense Emphasis"/>
    <w:basedOn w:val="DefaultParagraphFont"/>
    <w:uiPriority w:val="21"/>
    <w:qFormat/>
    <w:rsid w:val="007F7F09"/>
    <w:rPr>
      <w:i/>
      <w:iCs/>
      <w:color w:val="2E74B5" w:themeColor="accent1" w:themeShade="BF"/>
    </w:rPr>
  </w:style>
  <w:style w:type="paragraph" w:styleId="IntenseQuote">
    <w:name w:val="Intense Quote"/>
    <w:basedOn w:val="Normal"/>
    <w:next w:val="Normal"/>
    <w:link w:val="IntenseQuoteChar"/>
    <w:uiPriority w:val="30"/>
    <w:qFormat/>
    <w:rsid w:val="007F7F0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F7F09"/>
    <w:rPr>
      <w:i/>
      <w:iCs/>
      <w:color w:val="2E74B5" w:themeColor="accent1" w:themeShade="BF"/>
    </w:rPr>
  </w:style>
  <w:style w:type="character" w:styleId="IntenseReference">
    <w:name w:val="Intense Reference"/>
    <w:basedOn w:val="DefaultParagraphFont"/>
    <w:uiPriority w:val="32"/>
    <w:qFormat/>
    <w:rsid w:val="007F7F09"/>
    <w:rPr>
      <w:b/>
      <w:bCs/>
      <w:smallCaps/>
      <w:color w:val="2E74B5" w:themeColor="accent1" w:themeShade="BF"/>
      <w:spacing w:val="5"/>
    </w:rPr>
  </w:style>
  <w:style w:type="character" w:styleId="Hyperlink">
    <w:name w:val="Hyperlink"/>
    <w:basedOn w:val="DefaultParagraphFont"/>
    <w:uiPriority w:val="99"/>
    <w:unhideWhenUsed/>
    <w:rsid w:val="007F7F09"/>
    <w:rPr>
      <w:color w:val="0563C1" w:themeColor="hyperlink"/>
      <w:u w:val="single"/>
    </w:rPr>
  </w:style>
  <w:style w:type="character" w:styleId="UnresolvedMention">
    <w:name w:val="Unresolved Mention"/>
    <w:basedOn w:val="DefaultParagraphFont"/>
    <w:uiPriority w:val="99"/>
    <w:semiHidden/>
    <w:unhideWhenUsed/>
    <w:rsid w:val="007F7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88757E3-3585-4256-B101-B9C433E97E88}"/>
</file>

<file path=customXml/itemProps2.xml><?xml version="1.0" encoding="utf-8"?>
<ds:datastoreItem xmlns:ds="http://schemas.openxmlformats.org/officeDocument/2006/customXml" ds:itemID="{9A4D2F76-E5F9-432C-BBA1-ADC8A547313A}"/>
</file>

<file path=customXml/itemProps3.xml><?xml version="1.0" encoding="utf-8"?>
<ds:datastoreItem xmlns:ds="http://schemas.openxmlformats.org/officeDocument/2006/customXml" ds:itemID="{918B8C6C-CCAC-4899-965D-C225502D9B5A}"/>
</file>

<file path=docProps/app.xml><?xml version="1.0" encoding="utf-8"?>
<Properties xmlns="http://schemas.openxmlformats.org/officeDocument/2006/extended-properties" xmlns:vt="http://schemas.openxmlformats.org/officeDocument/2006/docPropsVTypes">
  <Template>Normal</Template>
  <TotalTime>28</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2026-05-13T20:08:00Z</dcterms:created>
  <dcterms:modified xsi:type="dcterms:W3CDTF">2026-05-13T20:36:00Z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