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Planning equity-centered union organizing campaigns</w:t>
      </w:r>
    </w:p>
    <w:p>
      <w:pPr>
        <w:pStyle w:val="Heading2"/>
      </w:pPr>
      <w:r>
        <w:t xml:space="preserve">Tone</w:t>
      </w:r>
    </w:p>
    <w:p>
      <w:pPr>
        <w:pStyle w:val="standard"/>
      </w:pPr>
      <w:r>
        <w:t xml:space="preserve">Collaborative, empowering, practical, and reflective</w:t>
      </w:r>
    </w:p>
    <w:p>
      <w:pPr>
        <w:pStyle w:val="Heading2"/>
      </w:pPr>
      <w:r>
        <w:t xml:space="preserve">Audience</w:t>
      </w:r>
    </w:p>
    <w:p>
      <w:pPr>
        <w:pStyle w:val="standard"/>
      </w:pPr>
      <w:r>
        <w:t xml:space="preserve">Leaders, members, and staff at NEA Campaign Lab who work for unions representing public schools and are responsible for planning, launching, and advancing equity-centered organizing campaigns.</w:t>
      </w:r>
    </w:p>
    <w:p>
      <w:pPr>
        <w:pStyle w:val="Heading2"/>
      </w:pPr>
      <w:r>
        <w:t xml:space="preserve">Goals</w:t>
      </w:r>
    </w:p>
    <w:p>
      <w:pPr>
        <w:pStyle w:val="standard"/>
      </w:pPr>
      <w:r>
        <w:t xml:space="preserve">Learners will be able to plan, evaluate, and lead an equity-centered organizing campaign through all stages of the campaign cycle, from issue identification and team norms to tactics, metrics, and evaluation.</w:t>
      </w:r>
    </w:p>
    <w:p>
      <w:pPr>
        <w:pStyle w:val="standard"/>
      </w:pPr>
    </w:p>
    <w:p>
      <w:pPr>
        <w:pStyle w:val="Heading1"/>
      </w:pPr>
      <w:r>
        <w:t xml:space="preserve">LEARNING OBJECTIVES</w:t>
      </w:r>
    </w:p>
    <w:p>
      <w:pPr>
        <w:pStyle w:val="standard-bold"/>
        <w:numPr>
          <w:ilvl w:val="0"/>
          <w:numId w:val="2"/>
        </w:numPr>
      </w:pPr>
      <w:r>
        <w:t xml:space="preserve">Identify the stages of a campaign cycle and their purpose.</w:t>
      </w:r>
    </w:p>
    <w:p>
      <w:pPr>
        <w:pStyle w:val="standard-bold"/>
        <w:numPr>
          <w:ilvl w:val="0"/>
          <w:numId w:val="2"/>
        </w:numPr>
      </w:pPr>
      <w:r>
        <w:t xml:space="preserve">Apply an iterative equity lens to each stage of campaign planning.</w:t>
      </w:r>
    </w:p>
    <w:p>
      <w:pPr>
        <w:pStyle w:val="standard-bold"/>
        <w:numPr>
          <w:ilvl w:val="0"/>
          <w:numId w:val="2"/>
        </w:numPr>
      </w:pPr>
      <w:r>
        <w:t xml:space="preserve">Analyze and define problems and issues relevant to their context.</w:t>
      </w:r>
    </w:p>
    <w:p>
      <w:pPr>
        <w:pStyle w:val="standard-bold"/>
        <w:numPr>
          <w:ilvl w:val="0"/>
          <w:numId w:val="2"/>
        </w:numPr>
      </w:pPr>
      <w:r>
        <w:t xml:space="preserve">Formulate clear, actionable demands and identify appropriate targets.</w:t>
      </w:r>
    </w:p>
    <w:p>
      <w:pPr>
        <w:pStyle w:val="standard-bold"/>
        <w:numPr>
          <w:ilvl w:val="0"/>
          <w:numId w:val="2"/>
        </w:numPr>
      </w:pPr>
      <w:r>
        <w:t xml:space="preserve">Map allies, opposition, and spectrum of allies for campaign strategy.</w:t>
      </w:r>
    </w:p>
    <w:p>
      <w:pPr>
        <w:pStyle w:val="standard-bold"/>
        <w:numPr>
          <w:ilvl w:val="0"/>
          <w:numId w:val="2"/>
        </w:numPr>
      </w:pPr>
      <w:r>
        <w:t xml:space="preserve">Develop an escalation plan for campaign tactics, including metrics to measure progress.</w:t>
      </w:r>
    </w:p>
    <w:p>
      <w:pPr>
        <w:pStyle w:val="Title"/>
        <w:pageBreakBefore/>
      </w:pPr>
      <w:r>
        <w:t xml:space="preserve">Course Outline</w:t>
      </w:r>
    </w:p>
    <w:p>
      <w:pPr>
        <w:pStyle w:val="standard"/>
      </w:pPr>
    </w:p>
    <w:p>
      <w:pPr>
        <w:pStyle w:val="Heading1"/>
      </w:pPr>
      <w:r>
        <w:t xml:space="preserve">OVERVIEW</w:t>
      </w:r>
    </w:p>
    <w:p>
      <w:pPr>
        <w:pStyle w:val="standard-bold"/>
      </w:pPr>
      <w:r>
        <w:t xml:space="preserve">Campaign Cycle Planning Overview</w:t>
      </w:r>
    </w:p>
    <w:p>
      <w:pPr>
        <w:pStyle w:val="Heading2"/>
      </w:pPr>
      <w:r>
        <w:t xml:space="preserve">Description</w:t>
      </w:r>
    </w:p>
    <w:p>
      <w:pPr>
        <w:pStyle w:val="standard"/>
      </w:pPr>
      <w:r>
        <w:t xml:space="preserve">Are you ready to create meaningful change in your school community? This course empowers NEA Campaign Lab leaders, members, and staff to plan and lead union organizing campaigns that put equity at the center. You'll explore the full campaign cycle, from identifying issues and building effective teams to developing strategies, mapping allies and opposition, and measuring your impact. By the end, you'll have the tools and confidence to design campaigns that foster justice and real results for public schools.</w:t>
      </w:r>
    </w:p>
    <w:p>
      <w:pPr>
        <w:pStyle w:val="Heading2"/>
      </w:pPr>
      <w:r>
        <w:t xml:space="preserve">Lessons</w:t>
      </w:r>
    </w:p>
    <w:p>
      <w:pPr>
        <w:pStyle w:val="standard-bold"/>
        <w:numPr>
          <w:ilvl w:val="0"/>
          <w:numId w:val="3"/>
        </w:numPr>
        <w:spacing w:after="0"/>
      </w:pPr>
      <w:r>
        <w:t xml:space="preserve">Understanding the Campaign Cycle</w:t>
      </w:r>
    </w:p>
    <w:p>
      <w:pPr>
        <w:pStyle w:val="standard-bold"/>
        <w:numPr>
          <w:ilvl w:val="0"/>
          <w:numId w:val="3"/>
        </w:numPr>
        <w:spacing w:after="0"/>
      </w:pPr>
      <w:r>
        <w:t xml:space="preserve">Centering Equity Throughout Your Campaign</w:t>
      </w:r>
    </w:p>
    <w:p>
      <w:pPr>
        <w:pStyle w:val="standard-bold"/>
        <w:numPr>
          <w:ilvl w:val="0"/>
          <w:numId w:val="3"/>
        </w:numPr>
        <w:spacing w:after="0"/>
      </w:pPr>
      <w:r>
        <w:t xml:space="preserve">From Problems to Actionable Issues</w:t>
      </w:r>
    </w:p>
    <w:p>
      <w:pPr>
        <w:pStyle w:val="standard-bold"/>
        <w:numPr>
          <w:ilvl w:val="0"/>
          <w:numId w:val="3"/>
        </w:numPr>
        <w:spacing w:after="0"/>
      </w:pPr>
      <w:r>
        <w:t xml:space="preserve">Formulating Demands and Identifying Targets</w:t>
      </w:r>
    </w:p>
    <w:p>
      <w:pPr>
        <w:pStyle w:val="standard-bold"/>
        <w:numPr>
          <w:ilvl w:val="0"/>
          <w:numId w:val="3"/>
        </w:numPr>
        <w:spacing w:after="0"/>
      </w:pPr>
      <w:r>
        <w:t xml:space="preserve">Mapping Allies, Opposition, and the Spectrum of Allies</w:t>
      </w:r>
    </w:p>
    <w:p>
      <w:pPr>
        <w:pStyle w:val="standard-bold"/>
        <w:numPr>
          <w:ilvl w:val="0"/>
          <w:numId w:val="3"/>
        </w:numPr>
        <w:spacing w:after="240"/>
      </w:pPr>
      <w:r>
        <w:t xml:space="preserve">Escalation Planning and Campaign Metrics</w:t>
      </w:r>
    </w:p>
    <w:p>
      <w:pPr>
        <w:pStyle w:val="standard"/>
      </w:pPr>
    </w:p>
    <w:p>
      <w:pPr>
        <w:pStyle w:val="Heading1"/>
      </w:pPr>
      <w:r>
        <w:t xml:space="preserve">LESSON #1</w:t>
      </w:r>
    </w:p>
    <w:p>
      <w:pPr>
        <w:pStyle w:val="standard-bold"/>
        <w:keepNext/>
      </w:pPr>
      <w:r>
        <w:t xml:space="preserve">Understanding the Campaign Cycle</w:t>
      </w:r>
    </w:p>
    <w:p>
      <w:pPr>
        <w:pStyle w:val="Heading2"/>
      </w:pPr>
      <w:r>
        <w:t xml:space="preserve">Description</w:t>
      </w:r>
    </w:p>
    <w:p>
      <w:pPr>
        <w:pStyle w:val="standard"/>
      </w:pPr>
      <w:r>
        <w:t xml:space="preserve">This lesson introduces the campaign cycle, breaking down its stages and clarifying the purpose of each. Learners will receive an overview of how campaigns are structured, including the iterative nature of planning and evaluation. The lesson will establish foundational knowledge necessary for subsequent modules, making connections to real-world organizing in public school contexts.</w:t>
      </w:r>
    </w:p>
    <w:p>
      <w:pPr>
        <w:pStyle w:val="Heading2"/>
      </w:pPr>
      <w:r>
        <w:t xml:space="preserve">Key Topics</w:t>
      </w:r>
    </w:p>
    <w:p>
      <w:pPr>
        <w:pStyle w:val="standard-ital"/>
      </w:pPr>
      <w:r>
        <w:t xml:space="preserve">Stages of a campaign cycle, Purpose of each stage, Overview of campaign planning in union contexts</w:t>
      </w:r>
    </w:p>
    <w:p>
      <w:pPr>
        <w:pStyle w:val="standard"/>
      </w:pPr>
    </w:p>
    <w:p>
      <w:pPr>
        <w:pStyle w:val="Heading1"/>
      </w:pPr>
      <w:r>
        <w:t xml:space="preserve">LESSON #2</w:t>
      </w:r>
    </w:p>
    <w:p>
      <w:pPr>
        <w:pStyle w:val="standard-bold"/>
        <w:keepNext/>
      </w:pPr>
      <w:r>
        <w:t xml:space="preserve">Centering Equity Throughout Your Campaign</w:t>
      </w:r>
    </w:p>
    <w:p>
      <w:pPr>
        <w:pStyle w:val="Heading2"/>
      </w:pPr>
      <w:r>
        <w:t xml:space="preserve">Description</w:t>
      </w:r>
    </w:p>
    <w:p>
      <w:pPr>
        <w:pStyle w:val="standard"/>
      </w:pPr>
      <w:r>
        <w:t xml:space="preserve">This lesson focuses on applying an equity lens at every stage of the campaign cycle. It will guide learners through analyzing race, class, and gender dynamics, and introduce tools for ongoing, iterative equity assessment. Scenarios and discussion prompts will show how to proactively build systems that support equitable outcomes and ensure impacted stakeholders are engaged in campaign decisions.</w:t>
      </w:r>
    </w:p>
    <w:p>
      <w:pPr>
        <w:pStyle w:val="Heading2"/>
      </w:pPr>
      <w:r>
        <w:t xml:space="preserve">Key Topics</w:t>
      </w:r>
    </w:p>
    <w:p>
      <w:pPr>
        <w:pStyle w:val="standard-ital"/>
      </w:pPr>
      <w:r>
        <w:t xml:space="preserve">Applying an equity lens to organizing, Identifying and addressing systemic disparities, Iterative equity analysis and stakeholder engagement</w:t>
      </w:r>
    </w:p>
    <w:p>
      <w:pPr>
        <w:pStyle w:val="standard"/>
      </w:pPr>
    </w:p>
    <w:p>
      <w:pPr>
        <w:pStyle w:val="Heading1"/>
      </w:pPr>
      <w:r>
        <w:t xml:space="preserve">LESSON #3</w:t>
      </w:r>
    </w:p>
    <w:p>
      <w:pPr>
        <w:pStyle w:val="standard-bold"/>
        <w:keepNext/>
      </w:pPr>
      <w:r>
        <w:t xml:space="preserve">From Problems to Actionable Issues</w:t>
      </w:r>
    </w:p>
    <w:p>
      <w:pPr>
        <w:pStyle w:val="Heading2"/>
      </w:pPr>
      <w:r>
        <w:t xml:space="preserve">Description</w:t>
      </w:r>
    </w:p>
    <w:p>
      <w:pPr>
        <w:pStyle w:val="standard"/>
      </w:pPr>
      <w:r>
        <w:t xml:space="preserve">This lesson covers the process of identifying and analyzing problems within school communities, then refining them into actionable organizing issues. It will provide criteria for distinguishing problems from issues, and methods for selecting winnable, widely and deeply felt issues that build union power. The lesson will draw on practical examples and diagnostic questioning techniques.</w:t>
      </w:r>
    </w:p>
    <w:p>
      <w:pPr>
        <w:pStyle w:val="Heading2"/>
      </w:pPr>
      <w:r>
        <w:t xml:space="preserve">Key Topics</w:t>
      </w:r>
    </w:p>
    <w:p>
      <w:pPr>
        <w:pStyle w:val="standard-ital"/>
      </w:pPr>
      <w:r>
        <w:t xml:space="preserve">Problem vs. issue analysis, Criteria for a good organizing issue, Diagnostic questioning and issue selection</w:t>
      </w:r>
    </w:p>
    <w:p>
      <w:pPr>
        <w:pStyle w:val="standard"/>
      </w:pPr>
    </w:p>
    <w:p>
      <w:pPr>
        <w:pStyle w:val="Heading1"/>
      </w:pPr>
      <w:r>
        <w:t xml:space="preserve">LESSON #4</w:t>
      </w:r>
    </w:p>
    <w:p>
      <w:pPr>
        <w:pStyle w:val="standard-bold"/>
        <w:keepNext/>
      </w:pPr>
      <w:r>
        <w:t xml:space="preserve">Formulating Demands and Identifying Targets</w:t>
      </w:r>
    </w:p>
    <w:p>
      <w:pPr>
        <w:pStyle w:val="Heading2"/>
      </w:pPr>
      <w:r>
        <w:t xml:space="preserve">Description</w:t>
      </w:r>
    </w:p>
    <w:p>
      <w:pPr>
        <w:pStyle w:val="standard"/>
      </w:pPr>
      <w:r>
        <w:t xml:space="preserve">This lesson explores how to translate issues into clear, actionable demands and how to identify primary and secondary targets with the power to address those demands. It will walk through demand formulation, target analysis, and the importance of aligning demands with union values and campaign goals. Learners will review real-world examples and practice defining targets by name, position, and influence.</w:t>
      </w:r>
    </w:p>
    <w:p>
      <w:pPr>
        <w:pStyle w:val="Heading2"/>
      </w:pPr>
      <w:r>
        <w:t xml:space="preserve">Key Topics</w:t>
      </w:r>
    </w:p>
    <w:p>
      <w:pPr>
        <w:pStyle w:val="standard-ital"/>
      </w:pPr>
      <w:r>
        <w:t xml:space="preserve">Developing actionable demands, Identifying and analyzing campaign targets, Aligning demands with campaign values and goals</w:t>
      </w:r>
    </w:p>
    <w:p>
      <w:pPr>
        <w:pStyle w:val="standard"/>
      </w:pPr>
    </w:p>
    <w:p>
      <w:pPr>
        <w:pStyle w:val="Heading1"/>
      </w:pPr>
      <w:r>
        <w:t xml:space="preserve">LESSON #5</w:t>
      </w:r>
    </w:p>
    <w:p>
      <w:pPr>
        <w:pStyle w:val="standard-bold"/>
        <w:keepNext/>
      </w:pPr>
      <w:r>
        <w:t xml:space="preserve">Mapping Allies, Opposition, and the Spectrum of Allies</w:t>
      </w:r>
    </w:p>
    <w:p>
      <w:pPr>
        <w:pStyle w:val="Heading2"/>
      </w:pPr>
      <w:r>
        <w:t xml:space="preserve">Description</w:t>
      </w:r>
    </w:p>
    <w:p>
      <w:pPr>
        <w:pStyle w:val="standard"/>
      </w:pPr>
      <w:r>
        <w:t xml:space="preserve">This lesson guides learners through mapping the spectrum of allies and opposition, using structured tools to analyze potential supporters, neutrals, and opponents. It will demonstrate how to identify, categorize, and engage different stakeholders, and how to leverage relationships to build campaign power. The lesson will emphasize the importance of nuanced outreach and coalition-building.</w:t>
      </w:r>
    </w:p>
    <w:p>
      <w:pPr>
        <w:pStyle w:val="Heading2"/>
      </w:pPr>
      <w:r>
        <w:t xml:space="preserve">Key Topics</w:t>
      </w:r>
    </w:p>
    <w:p>
      <w:pPr>
        <w:pStyle w:val="standard-ital"/>
      </w:pPr>
      <w:r>
        <w:t xml:space="preserve">Spectrum of allies framework, Identifying and mapping allies and opposition, Engagement strategies for different stakeholder groups</w:t>
      </w:r>
    </w:p>
    <w:p>
      <w:pPr>
        <w:pStyle w:val="standard"/>
      </w:pPr>
    </w:p>
    <w:p>
      <w:pPr>
        <w:pStyle w:val="Heading1"/>
      </w:pPr>
      <w:r>
        <w:t xml:space="preserve">LESSON #6</w:t>
      </w:r>
    </w:p>
    <w:p>
      <w:pPr>
        <w:pStyle w:val="standard-bold"/>
        <w:keepNext/>
      </w:pPr>
      <w:r>
        <w:t xml:space="preserve">Escalation Planning and Campaign Metrics</w:t>
      </w:r>
    </w:p>
    <w:p>
      <w:pPr>
        <w:pStyle w:val="Heading2"/>
      </w:pPr>
      <w:r>
        <w:t xml:space="preserve">Description</w:t>
      </w:r>
    </w:p>
    <w:p>
      <w:pPr>
        <w:pStyle w:val="standard"/>
      </w:pPr>
      <w:r>
        <w:t xml:space="preserve">This lesson focuses on developing an escalation plan for campaign tactics and establishing metrics to measure progress and impact. Learners will be introduced to criteria for selecting effective tactics, sequencing actions for escalating pressure, and using both quantitative and qualitative metrics for evaluation. The lesson will conclude with best practices for debriefing and continuous improvement.</w:t>
      </w:r>
    </w:p>
    <w:p>
      <w:pPr>
        <w:pStyle w:val="Heading2"/>
      </w:pPr>
      <w:r>
        <w:t xml:space="preserve">Key Topics</w:t>
      </w:r>
    </w:p>
    <w:p>
      <w:pPr>
        <w:pStyle w:val="standard-ital"/>
      </w:pPr>
      <w:r>
        <w:t xml:space="preserve">Escalation planning for campaign tactics, Criteria for effective tactics, Designing and tracking campaign metrics, Debriefing and continuous improvement</w:t>
      </w:r>
    </w:p>
    <w:p>
      <w:pPr>
        <w:pStyle w:val="Title"/>
        <w:pageBreakBefore/>
      </w:pPr>
      <w:r>
        <w:t xml:space="preserve">Source Materials</w:t>
      </w:r>
    </w:p>
    <w:p>
      <w:pPr>
        <w:pStyle w:val="standard"/>
      </w:pPr>
    </w:p>
    <w:p>
      <w:pPr>
        <w:pStyle w:val="standard"/>
      </w:pPr>
      <w:r>
        <w:t xml:space="preserve">1.3 Centering Equity in your Campaigns.pdf</w:t>
      </w:r>
    </w:p>
    <w:p>
      <w:pPr>
        <w:pStyle w:val="standard"/>
      </w:pPr>
      <w:r>
        <w:t xml:space="preserve">2.2 Problem to Issue Analysis.pdf</w:t>
      </w:r>
    </w:p>
    <w:p>
      <w:pPr>
        <w:pStyle w:val="standard"/>
      </w:pPr>
      <w:r>
        <w:t xml:space="preserve">2.4 Map Spectrum of Allies.pdf</w:t>
      </w:r>
    </w:p>
    <w:p>
      <w:pPr>
        <w:pStyle w:val="standard"/>
      </w:pPr>
      <w:r>
        <w:t xml:space="preserve">3.3 Plan Out Your Tactics.pdf</w:t>
      </w:r>
    </w:p>
    <w:p>
      <w:pPr>
        <w:pStyle w:val="standard"/>
      </w:pPr>
      <w:r>
        <w:t xml:space="preserve">4.1 Theory of Change Handout.pdf</w:t>
      </w:r>
    </w:p>
    <w:p>
      <w:pPr>
        <w:pStyle w:val="standard"/>
      </w:pPr>
      <w:r>
        <w:t xml:space="preserve">4.2 TacticsThatFit.pdf</w:t>
      </w:r>
    </w:p>
    <w:p>
      <w:pPr>
        <w:pStyle w:val="standard"/>
      </w:pPr>
      <w:r>
        <w:t xml:space="preserve">5 Campaign Cycle Planning Workbook.pdf</w:t>
      </w:r>
    </w:p>
    <w:p>
      <w:pPr>
        <w:pStyle w:val="standard"/>
      </w:pPr>
      <w:r>
        <w:t xml:space="preserve">Metrics.docx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10:48 AM 5/5/26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698EFB4A-7753-4B36-BAA2-88495AA96032}"/>
</file>

<file path=customXml/itemProps2.xml><?xml version="1.0" encoding="utf-8"?>
<ds:datastoreItem xmlns:ds="http://schemas.openxmlformats.org/officeDocument/2006/customXml" ds:itemID="{F3E76ED0-159B-479B-8DBE-92D3A71FC8D3}"/>
</file>

<file path=customXml/itemProps3.xml><?xml version="1.0" encoding="utf-8"?>
<ds:datastoreItem xmlns:ds="http://schemas.openxmlformats.org/officeDocument/2006/customXml" ds:itemID="{E8DF35FF-DD61-497C-BE5A-661A1FE00C7C}"/>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2026-05-05T14:48:52Z</dcterms:created>
  <dcterms:modified xsi:type="dcterms:W3CDTF">2026-05-05T14:48:52Z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4107600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