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40FEE" w14:textId="77777777" w:rsidR="004F5BB1" w:rsidRDefault="004F5BB1" w:rsidP="004F5BB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16EE1C6C" w14:textId="3B94CCEA" w:rsidR="00963429" w:rsidRDefault="006D5792" w:rsidP="006D579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242424"/>
          <w:sz w:val="22"/>
          <w:szCs w:val="22"/>
        </w:rPr>
        <w:t>Resources for Participants: </w:t>
      </w:r>
      <w:hyperlink r:id="rId5" w:history="1">
        <w:r w:rsidR="00963429" w:rsidRPr="00BC788E">
          <w:rPr>
            <w:rStyle w:val="Hyperlink"/>
          </w:rPr>
          <w:t>https://www.dropbox.com/scl/fo/4oia6dlw66zuwkeh4atkf/h?dl=0&amp;rlkey=vp7k6ylbbr98kdaiede5glqpd</w:t>
        </w:r>
      </w:hyperlink>
    </w:p>
    <w:p w14:paraId="2993EA90" w14:textId="606ED4FF" w:rsidR="006D5792" w:rsidRDefault="006D5792" w:rsidP="006D5792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</w:rPr>
        <w:t> </w:t>
      </w:r>
    </w:p>
    <w:p w14:paraId="2A9A6CA2" w14:textId="77777777" w:rsidR="004F5BB1" w:rsidRPr="004F5BB1" w:rsidRDefault="004F5BB1" w:rsidP="004F5BB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4F5BB1">
        <w:rPr>
          <w:rFonts w:ascii="Calibri" w:eastAsia="Times New Roman" w:hAnsi="Calibri" w:cs="Calibri"/>
          <w:color w:val="000000"/>
          <w:sz w:val="24"/>
          <w:szCs w:val="24"/>
        </w:rPr>
        <w:t>How Brandon Johnson Made Up Ground and Won Chicago’s Mayoral Race - NY TIMES</w:t>
      </w:r>
    </w:p>
    <w:p w14:paraId="01463FEC" w14:textId="77777777" w:rsidR="004F5BB1" w:rsidRPr="004F5BB1" w:rsidRDefault="006D5792" w:rsidP="004F5BB1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A</w:t>
      </w:r>
      <w:r w:rsidR="004F5BB1" w:rsidRPr="004F5BB1">
        <w:rPr>
          <w:rFonts w:ascii="Calibri" w:eastAsia="Times New Roman" w:hAnsi="Calibri" w:cs="Calibri"/>
          <w:color w:val="000000"/>
          <w:sz w:val="24"/>
          <w:szCs w:val="24"/>
        </w:rPr>
        <w:t xml:space="preserve"> good pre-read example of what a coalition did and does through the lens of a political race that has race, equity, class and safety embedded in objective(s)</w:t>
      </w:r>
    </w:p>
    <w:p w14:paraId="7F0EF5A1" w14:textId="77777777" w:rsidR="004F5BB1" w:rsidRPr="004F5BB1" w:rsidRDefault="004F5BB1" w:rsidP="004F5BB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4F5BB1">
        <w:rPr>
          <w:rFonts w:ascii="Calibri" w:eastAsia="Times New Roman" w:hAnsi="Calibri" w:cs="Calibri"/>
          <w:color w:val="000000"/>
          <w:sz w:val="24"/>
          <w:szCs w:val="24"/>
        </w:rPr>
        <w:t>when-execution-isnt-enough-chapter-3</w:t>
      </w:r>
    </w:p>
    <w:p w14:paraId="7BF22AD4" w14:textId="77777777" w:rsidR="004F5BB1" w:rsidRPr="004F5BB1" w:rsidRDefault="004F5BB1" w:rsidP="004F5BB1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4F5BB1">
        <w:rPr>
          <w:rFonts w:ascii="Calibri" w:eastAsia="Times New Roman" w:hAnsi="Calibri" w:cs="Calibri"/>
          <w:color w:val="000000"/>
          <w:sz w:val="24"/>
          <w:szCs w:val="24"/>
        </w:rPr>
        <w:t>This is a good piece that differentiates the impact and effectiveness of the influence of the coalition.  However, in this article it frames the actor as the employer trying to influence employees, and a “coalition” as a tactic…but I think if you (conceptually) replaced the employer with a coalition as the actor and then saw the other as influence tactics deployed by a coalition, and the “coalition” reference in the article as just the most basic version of a coalition, then you would really understand what actions a coalition should take to have maximum influence and commitment on the target audience/constituency, basically showing that relational tactics (inspiration, consultation primarily) have the biggest impacts on commitment and lowest instances of resistance…this also jibes with the article on Brandon Johnson  regarding coalition building.</w:t>
      </w:r>
    </w:p>
    <w:p w14:paraId="146210D0" w14:textId="77777777" w:rsidR="004F5BB1" w:rsidRPr="004F5BB1" w:rsidRDefault="004F5BB1" w:rsidP="004F5BB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4F5BB1">
        <w:rPr>
          <w:rFonts w:ascii="Calibri" w:eastAsia="Times New Roman" w:hAnsi="Calibri" w:cs="Calibri"/>
          <w:color w:val="000000"/>
          <w:sz w:val="24"/>
          <w:szCs w:val="24"/>
        </w:rPr>
        <w:t>Chapter 14 Core Functions in Leadership  Section 10 Overcoming Setbacks and Adversity</w:t>
      </w:r>
    </w:p>
    <w:p w14:paraId="112BB08A" w14:textId="77777777" w:rsidR="004F5BB1" w:rsidRPr="004F5BB1" w:rsidRDefault="004F5BB1" w:rsidP="004F5BB1">
      <w:pPr>
        <w:numPr>
          <w:ilvl w:val="1"/>
          <w:numId w:val="6"/>
        </w:numPr>
        <w:shd w:val="clear" w:color="auto" w:fill="FFFFFF"/>
        <w:spacing w:before="100" w:beforeAutospacing="1" w:after="24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4F5BB1">
        <w:rPr>
          <w:rFonts w:ascii="Calibri" w:eastAsia="Times New Roman" w:hAnsi="Calibri" w:cs="Calibri"/>
          <w:color w:val="000000"/>
          <w:sz w:val="24"/>
          <w:szCs w:val="24"/>
        </w:rPr>
        <w:t>This (and the whole site) is a great resource in defining the differences between a setback and adversity, as well as why and how to respond to both.  This is some thinking on this topic that is as close to how I view it, and presented in what I think is a very clear way.</w:t>
      </w:r>
      <w:r w:rsidRPr="004F5BB1">
        <w:rPr>
          <w:rFonts w:ascii="Calibri" w:eastAsia="Times New Roman" w:hAnsi="Calibri" w:cs="Calibri"/>
          <w:color w:val="000000"/>
          <w:sz w:val="24"/>
          <w:szCs w:val="24"/>
        </w:rPr>
        <w:br/>
      </w:r>
    </w:p>
    <w:p w14:paraId="542061B8" w14:textId="77777777" w:rsidR="004F5BB1" w:rsidRPr="004F5BB1" w:rsidRDefault="004F5BB1" w:rsidP="004F5BB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4F5BB1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7951A389" w14:textId="77777777" w:rsidR="004F5BB1" w:rsidRPr="004F5BB1" w:rsidRDefault="004F5BB1" w:rsidP="004F5BB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4F5BB1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4BFBBADA" w14:textId="77777777" w:rsidR="0005782A" w:rsidRDefault="0005782A"/>
    <w:sectPr w:rsidR="000578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43ED4"/>
    <w:multiLevelType w:val="multilevel"/>
    <w:tmpl w:val="2C123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67F7636"/>
    <w:multiLevelType w:val="multilevel"/>
    <w:tmpl w:val="A7063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2784A26"/>
    <w:multiLevelType w:val="multilevel"/>
    <w:tmpl w:val="A2CE2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79A2C43"/>
    <w:multiLevelType w:val="multilevel"/>
    <w:tmpl w:val="67189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12D71D6"/>
    <w:multiLevelType w:val="multilevel"/>
    <w:tmpl w:val="C8087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2972138"/>
    <w:multiLevelType w:val="multilevel"/>
    <w:tmpl w:val="253A8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12679678">
    <w:abstractNumId w:val="3"/>
  </w:num>
  <w:num w:numId="2" w16cid:durableId="1677999561">
    <w:abstractNumId w:val="2"/>
  </w:num>
  <w:num w:numId="3" w16cid:durableId="1180435222">
    <w:abstractNumId w:val="1"/>
  </w:num>
  <w:num w:numId="4" w16cid:durableId="246306577">
    <w:abstractNumId w:val="0"/>
  </w:num>
  <w:num w:numId="5" w16cid:durableId="624196352">
    <w:abstractNumId w:val="5"/>
  </w:num>
  <w:num w:numId="6" w16cid:durableId="19976097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BB1"/>
    <w:rsid w:val="0005782A"/>
    <w:rsid w:val="004F5BB1"/>
    <w:rsid w:val="006D5792"/>
    <w:rsid w:val="00963429"/>
    <w:rsid w:val="00AA3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19365"/>
  <w15:chartTrackingRefBased/>
  <w15:docId w15:val="{C6F3AE78-6616-47FB-B88C-20457DFF7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xxmsonormal">
    <w:name w:val="x_x_xmsonormal"/>
    <w:basedOn w:val="Normal"/>
    <w:rsid w:val="004F5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F5BB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5792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D5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634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17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ropbox.com/scl/fo/4oia6dlw66zuwkeh4atkf/h?dl=0&amp;rlkey=vp7k6ylbbr98kdaiede5glqpd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EAC85127-5260-4D72-8EC4-029848DBB536}"/>
</file>

<file path=customXml/itemProps2.xml><?xml version="1.0" encoding="utf-8"?>
<ds:datastoreItem xmlns:ds="http://schemas.openxmlformats.org/officeDocument/2006/customXml" ds:itemID="{ADD9165B-A05F-4205-8D11-0F09506194A3}"/>
</file>

<file path=customXml/itemProps3.xml><?xml version="1.0" encoding="utf-8"?>
<ds:datastoreItem xmlns:ds="http://schemas.openxmlformats.org/officeDocument/2006/customXml" ds:itemID="{3EFD37D4-3208-4144-ABC9-D1E78D03176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1471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Williams, Chad</cp:lastModifiedBy>
  <cp:revision>2</cp:revision>
  <dcterms:created xsi:type="dcterms:W3CDTF">2023-04-28T12:53:00Z</dcterms:created>
  <dcterms:modified xsi:type="dcterms:W3CDTF">2023-04-28T12:53:00Z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