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4E69B6" w:rsidR="004E69B6" w:rsidP="00646923" w:rsidRDefault="004E69B6" w14:paraId="055D0A9E" w14:textId="77777777">
      <w:pPr>
        <w:pStyle w:val="NormalWeb"/>
        <w:shd w:val="clear" w:color="auto" w:fill="FFFFFF"/>
        <w:spacing w:before="0" w:beforeAutospacing="0" w:after="150" w:afterAutospacing="0"/>
        <w:rPr>
          <w:rFonts w:ascii="Arial" w:hAnsi="Arial" w:cs="Arial"/>
          <w:b/>
          <w:color w:val="000000" w:themeColor="text1"/>
          <w:sz w:val="32"/>
          <w:szCs w:val="32"/>
        </w:rPr>
      </w:pPr>
      <w:r w:rsidRPr="004E69B6">
        <w:rPr>
          <w:rFonts w:ascii="Arial" w:hAnsi="Arial" w:cs="Arial"/>
          <w:b/>
          <w:color w:val="000000" w:themeColor="text1"/>
          <w:sz w:val="32"/>
          <w:szCs w:val="32"/>
        </w:rPr>
        <w:t>Ladder of Engagement</w:t>
      </w:r>
    </w:p>
    <w:p w:rsidRPr="004E69B6" w:rsidR="00646923" w:rsidP="00646923" w:rsidRDefault="00646923" w14:paraId="1325C6CA" w14:textId="2DBAE52E">
      <w:pPr>
        <w:pStyle w:val="NormalWeb"/>
        <w:shd w:val="clear" w:color="auto" w:fill="FFFFFF"/>
        <w:spacing w:before="0" w:beforeAutospacing="0" w:after="150" w:afterAutospacing="0"/>
        <w:rPr>
          <w:rFonts w:ascii="Arial" w:hAnsi="Arial" w:cs="Arial"/>
          <w:color w:val="000000" w:themeColor="text1"/>
          <w:sz w:val="22"/>
          <w:szCs w:val="22"/>
        </w:rPr>
      </w:pPr>
      <w:proofErr w:type="spellStart"/>
      <w:r w:rsidRPr="004E69B6">
        <w:rPr>
          <w:rFonts w:ascii="Arial" w:hAnsi="Arial" w:cs="Arial"/>
          <w:color w:val="000000" w:themeColor="text1"/>
          <w:sz w:val="22"/>
          <w:szCs w:val="22"/>
        </w:rPr>
        <w:t>Hahrie</w:t>
      </w:r>
      <w:proofErr w:type="spellEnd"/>
      <w:r w:rsidRPr="004E69B6">
        <w:rPr>
          <w:rFonts w:ascii="Arial" w:hAnsi="Arial" w:cs="Arial"/>
          <w:color w:val="000000" w:themeColor="text1"/>
          <w:sz w:val="22"/>
          <w:szCs w:val="22"/>
        </w:rPr>
        <w:t xml:space="preserve"> Han wrote that the Ladder of Engagement is “the difference between organizing events and organizing organizers” (</w:t>
      </w:r>
      <w:hyperlink w:tooltip="epolitics" w:history="1" r:id="rId4">
        <w:r w:rsidRPr="004E69B6">
          <w:rPr>
            <w:rStyle w:val="Hyperlink"/>
            <w:rFonts w:ascii="Arial" w:hAnsi="Arial" w:cs="Arial"/>
            <w:color w:val="000000" w:themeColor="text1"/>
            <w:sz w:val="22"/>
            <w:szCs w:val="22"/>
            <w:u w:val="none"/>
          </w:rPr>
          <w:t>2015</w:t>
        </w:r>
      </w:hyperlink>
      <w:r w:rsidRPr="004E69B6">
        <w:rPr>
          <w:rFonts w:ascii="Arial" w:hAnsi="Arial" w:cs="Arial"/>
          <w:color w:val="000000" w:themeColor="text1"/>
          <w:sz w:val="22"/>
          <w:szCs w:val="22"/>
        </w:rPr>
        <w:t>).</w:t>
      </w:r>
      <w:r w:rsidR="004E69B6">
        <w:rPr>
          <w:rFonts w:ascii="Arial" w:hAnsi="Arial" w:cs="Arial"/>
          <w:color w:val="000000" w:themeColor="text1"/>
          <w:sz w:val="22"/>
          <w:szCs w:val="22"/>
        </w:rPr>
        <w:t xml:space="preserve"> </w:t>
      </w:r>
    </w:p>
    <w:p w:rsidRPr="004E69B6" w:rsidR="00646923" w:rsidP="00646923" w:rsidRDefault="00646923" w14:paraId="2B47EDE7" w14:textId="38533455">
      <w:pPr>
        <w:pStyle w:val="NormalWeb"/>
        <w:shd w:val="clear" w:color="auto" w:fill="FFFFFF"/>
        <w:spacing w:before="0" w:beforeAutospacing="0" w:after="150" w:afterAutospacing="0"/>
        <w:rPr>
          <w:rFonts w:ascii="Arial" w:hAnsi="Arial" w:cs="Arial"/>
          <w:color w:val="000000" w:themeColor="text1"/>
          <w:sz w:val="22"/>
          <w:szCs w:val="22"/>
        </w:rPr>
      </w:pPr>
      <w:r w:rsidRPr="004E69B6">
        <w:rPr>
          <w:rFonts w:ascii="Arial" w:hAnsi="Arial" w:cs="Arial"/>
          <w:color w:val="000000" w:themeColor="text1"/>
          <w:sz w:val="22"/>
          <w:szCs w:val="22"/>
        </w:rPr>
        <w:t xml:space="preserve">When we’re bringing people into our unions we want to think about how we can constantly scale up our engagement </w:t>
      </w:r>
      <w:r w:rsidR="004E69B6">
        <w:rPr>
          <w:rFonts w:ascii="Arial" w:hAnsi="Arial" w:cs="Arial"/>
          <w:color w:val="000000" w:themeColor="text1"/>
          <w:sz w:val="22"/>
          <w:szCs w:val="22"/>
        </w:rPr>
        <w:t xml:space="preserve">from making them aware all the way up the ladder to planning the work of the union. Each step of the ladder allows </w:t>
      </w:r>
      <w:r w:rsidRPr="004E69B6">
        <w:rPr>
          <w:rFonts w:ascii="Arial" w:hAnsi="Arial" w:cs="Arial"/>
          <w:color w:val="000000" w:themeColor="text1"/>
          <w:sz w:val="22"/>
          <w:szCs w:val="22"/>
        </w:rPr>
        <w:t>more and more</w:t>
      </w:r>
      <w:r w:rsidR="004E69B6">
        <w:rPr>
          <w:rFonts w:ascii="Arial" w:hAnsi="Arial" w:cs="Arial"/>
          <w:color w:val="000000" w:themeColor="text1"/>
          <w:sz w:val="22"/>
          <w:szCs w:val="22"/>
        </w:rPr>
        <w:t xml:space="preserve"> engagement and loyalty  in the shared</w:t>
      </w:r>
      <w:r w:rsidRPr="004E69B6">
        <w:rPr>
          <w:rFonts w:ascii="Arial" w:hAnsi="Arial" w:cs="Arial"/>
          <w:color w:val="000000" w:themeColor="text1"/>
          <w:sz w:val="22"/>
          <w:szCs w:val="22"/>
        </w:rPr>
        <w:t xml:space="preserve"> values</w:t>
      </w:r>
      <w:r w:rsidR="004E69B6">
        <w:rPr>
          <w:rFonts w:ascii="Arial" w:hAnsi="Arial" w:cs="Arial"/>
          <w:color w:val="000000" w:themeColor="text1"/>
          <w:sz w:val="22"/>
          <w:szCs w:val="22"/>
        </w:rPr>
        <w:t xml:space="preserve"> and </w:t>
      </w:r>
      <w:r w:rsidRPr="004E69B6">
        <w:rPr>
          <w:rFonts w:ascii="Arial" w:hAnsi="Arial" w:cs="Arial"/>
          <w:color w:val="000000" w:themeColor="text1"/>
          <w:sz w:val="22"/>
          <w:szCs w:val="22"/>
        </w:rPr>
        <w:t>campaign</w:t>
      </w:r>
      <w:r w:rsidR="004E69B6">
        <w:rPr>
          <w:rFonts w:ascii="Arial" w:hAnsi="Arial" w:cs="Arial"/>
          <w:color w:val="000000" w:themeColor="text1"/>
          <w:sz w:val="22"/>
          <w:szCs w:val="22"/>
        </w:rPr>
        <w:t>s. It is this increased engagement that allows people to build their capacity to lead in more and more ways</w:t>
      </w:r>
      <w:r w:rsidRPr="004E69B6">
        <w:rPr>
          <w:rFonts w:ascii="Arial" w:hAnsi="Arial" w:cs="Arial"/>
          <w:color w:val="000000" w:themeColor="text1"/>
          <w:sz w:val="22"/>
          <w:szCs w:val="22"/>
        </w:rPr>
        <w:t>.</w:t>
      </w:r>
    </w:p>
    <w:p w:rsidR="00646923" w:rsidP="00646923" w:rsidRDefault="004E69B6" w14:paraId="284A10F6" w14:textId="7D0E78A9">
      <w:pPr>
        <w:pStyle w:val="NormalWeb"/>
        <w:shd w:val="clear" w:color="auto" w:fill="FFFFFF"/>
        <w:spacing w:before="0" w:beforeAutospacing="0" w:after="150" w:afterAutospacing="0"/>
        <w:rPr>
          <w:rFonts w:ascii="Arial" w:hAnsi="Arial" w:cs="Arial"/>
          <w:color w:val="000000" w:themeColor="text1"/>
          <w:sz w:val="22"/>
          <w:szCs w:val="22"/>
        </w:rPr>
      </w:pPr>
      <w:r>
        <w:rPr>
          <w:rFonts w:ascii="Arial" w:hAnsi="Arial" w:cs="Arial"/>
          <w:color w:val="000000" w:themeColor="text1"/>
          <w:sz w:val="22"/>
          <w:szCs w:val="22"/>
        </w:rPr>
        <w:t>The most trusted and credible o</w:t>
      </w:r>
      <w:r w:rsidRPr="004E69B6" w:rsidR="00646923">
        <w:rPr>
          <w:rFonts w:ascii="Arial" w:hAnsi="Arial" w:cs="Arial"/>
          <w:color w:val="000000" w:themeColor="text1"/>
          <w:sz w:val="22"/>
          <w:szCs w:val="22"/>
        </w:rPr>
        <w:t xml:space="preserve">f </w:t>
      </w:r>
      <w:r w:rsidRPr="004E69B6">
        <w:rPr>
          <w:rFonts w:ascii="Arial" w:hAnsi="Arial" w:cs="Arial"/>
          <w:color w:val="000000" w:themeColor="text1"/>
          <w:sz w:val="22"/>
          <w:szCs w:val="22"/>
        </w:rPr>
        <w:t>union leaders</w:t>
      </w:r>
      <w:r>
        <w:rPr>
          <w:rFonts w:ascii="Arial" w:hAnsi="Arial" w:cs="Arial"/>
          <w:color w:val="000000" w:themeColor="text1"/>
          <w:sz w:val="22"/>
          <w:szCs w:val="22"/>
        </w:rPr>
        <w:t xml:space="preserve"> are found at the top of the ladder.  They are responsible for the continual recruitment of people to the ladder and the work of moving people up the ladder. Divvying up</w:t>
      </w:r>
      <w:r w:rsidRPr="004E69B6" w:rsidR="00646923">
        <w:rPr>
          <w:rFonts w:ascii="Arial" w:hAnsi="Arial" w:cs="Arial"/>
          <w:color w:val="000000" w:themeColor="text1"/>
          <w:sz w:val="22"/>
          <w:szCs w:val="22"/>
        </w:rPr>
        <w:t xml:space="preserve"> the </w:t>
      </w:r>
      <w:r>
        <w:rPr>
          <w:rFonts w:ascii="Arial" w:hAnsi="Arial" w:cs="Arial"/>
          <w:color w:val="000000" w:themeColor="text1"/>
          <w:sz w:val="22"/>
          <w:szCs w:val="22"/>
        </w:rPr>
        <w:t xml:space="preserve">important </w:t>
      </w:r>
      <w:r w:rsidRPr="004E69B6">
        <w:rPr>
          <w:rFonts w:ascii="Arial" w:hAnsi="Arial" w:cs="Arial"/>
          <w:color w:val="000000" w:themeColor="text1"/>
          <w:sz w:val="22"/>
          <w:szCs w:val="22"/>
        </w:rPr>
        <w:t>responsibility</w:t>
      </w:r>
      <w:r w:rsidRPr="004E69B6" w:rsidR="00646923">
        <w:rPr>
          <w:rFonts w:ascii="Arial" w:hAnsi="Arial" w:cs="Arial"/>
          <w:color w:val="000000" w:themeColor="text1"/>
          <w:sz w:val="22"/>
          <w:szCs w:val="22"/>
        </w:rPr>
        <w:t xml:space="preserve"> of recruitment</w:t>
      </w:r>
      <w:r>
        <w:rPr>
          <w:rFonts w:ascii="Arial" w:hAnsi="Arial" w:cs="Arial"/>
          <w:color w:val="000000" w:themeColor="text1"/>
          <w:sz w:val="22"/>
          <w:szCs w:val="22"/>
        </w:rPr>
        <w:t xml:space="preserve"> and engagement</w:t>
      </w:r>
      <w:r w:rsidRPr="004E69B6" w:rsidR="00646923">
        <w:rPr>
          <w:rFonts w:ascii="Arial" w:hAnsi="Arial" w:cs="Arial"/>
          <w:color w:val="000000" w:themeColor="text1"/>
          <w:sz w:val="22"/>
          <w:szCs w:val="22"/>
        </w:rPr>
        <w:t xml:space="preserve"> building </w:t>
      </w:r>
      <w:r>
        <w:rPr>
          <w:rFonts w:ascii="Arial" w:hAnsi="Arial" w:cs="Arial"/>
          <w:color w:val="000000" w:themeColor="text1"/>
          <w:sz w:val="22"/>
          <w:szCs w:val="22"/>
        </w:rPr>
        <w:t>across leaders AND</w:t>
      </w:r>
      <w:r w:rsidRPr="004E69B6" w:rsidR="00646923">
        <w:rPr>
          <w:rFonts w:ascii="Arial" w:hAnsi="Arial" w:cs="Arial"/>
          <w:color w:val="000000" w:themeColor="text1"/>
          <w:sz w:val="22"/>
          <w:szCs w:val="22"/>
        </w:rPr>
        <w:t xml:space="preserve"> making it clear that their work is needed they’ll respond with their commitment to the </w:t>
      </w:r>
      <w:r>
        <w:rPr>
          <w:rFonts w:ascii="Arial" w:hAnsi="Arial" w:cs="Arial"/>
          <w:color w:val="000000" w:themeColor="text1"/>
          <w:sz w:val="22"/>
          <w:szCs w:val="22"/>
        </w:rPr>
        <w:t>Union</w:t>
      </w:r>
      <w:r w:rsidRPr="004E69B6" w:rsidR="00646923">
        <w:rPr>
          <w:rFonts w:ascii="Arial" w:hAnsi="Arial" w:cs="Arial"/>
          <w:color w:val="000000" w:themeColor="text1"/>
          <w:sz w:val="22"/>
          <w:szCs w:val="22"/>
        </w:rPr>
        <w:t>.</w:t>
      </w:r>
      <w:r>
        <w:rPr>
          <w:rFonts w:ascii="Arial" w:hAnsi="Arial" w:cs="Arial"/>
          <w:color w:val="000000" w:themeColor="text1"/>
          <w:sz w:val="22"/>
          <w:szCs w:val="22"/>
        </w:rPr>
        <w:t xml:space="preserve"> </w:t>
      </w:r>
      <w:r w:rsidRPr="004E69B6" w:rsidR="00646923">
        <w:rPr>
          <w:rFonts w:ascii="Arial" w:hAnsi="Arial" w:cs="Arial"/>
          <w:color w:val="000000" w:themeColor="text1"/>
          <w:sz w:val="22"/>
          <w:szCs w:val="22"/>
        </w:rPr>
        <w:t>Ultimately, the Ladder of Engagement is about building leaders.</w:t>
      </w:r>
    </w:p>
    <w:p w:rsidRPr="004E69B6" w:rsidR="004E69B6" w:rsidP="00646923" w:rsidRDefault="00140937" w14:paraId="2F37DE90" w14:textId="7C53D5B1">
      <w:pPr>
        <w:pStyle w:val="NormalWeb"/>
        <w:shd w:val="clear" w:color="auto" w:fill="FFFFFF"/>
        <w:spacing w:before="0" w:beforeAutospacing="0" w:after="150" w:afterAutospacing="0"/>
        <w:rPr>
          <w:rFonts w:ascii="Arial" w:hAnsi="Arial" w:cs="Arial"/>
          <w:color w:val="000000" w:themeColor="text1"/>
          <w:sz w:val="22"/>
          <w:szCs w:val="22"/>
        </w:rPr>
      </w:pPr>
      <w:r>
        <w:rPr>
          <w:rFonts w:ascii="Arial" w:hAnsi="Arial" w:cs="Arial"/>
          <w:color w:val="000000" w:themeColor="text1"/>
          <w:sz w:val="22"/>
          <w:szCs w:val="22"/>
        </w:rPr>
        <w:t>What are the kinds of invitations that are used at the various levels</w:t>
      </w:r>
      <w:r w:rsidR="00412DF2">
        <w:rPr>
          <w:rFonts w:ascii="Arial" w:hAnsi="Arial" w:cs="Arial"/>
          <w:color w:val="000000" w:themeColor="text1"/>
          <w:sz w:val="22"/>
          <w:szCs w:val="22"/>
        </w:rPr>
        <w:t xml:space="preserve">? </w:t>
      </w:r>
    </w:p>
    <w:tbl>
      <w:tblPr>
        <w:tblStyle w:val="TableGrid"/>
        <w:tblW w:w="0" w:type="auto"/>
        <w:tblLook w:val="04A0" w:firstRow="1" w:lastRow="0" w:firstColumn="1" w:lastColumn="0" w:noHBand="0" w:noVBand="1"/>
      </w:tblPr>
      <w:tblGrid>
        <w:gridCol w:w="2520"/>
        <w:gridCol w:w="8280"/>
      </w:tblGrid>
      <w:tr w:rsidR="00C84CD8" w:rsidTr="4EFF0F23" w14:paraId="0D245B7F" w14:textId="77777777">
        <w:tc>
          <w:tcPr>
            <w:tcW w:w="10800" w:type="dxa"/>
            <w:gridSpan w:val="2"/>
            <w:tcBorders>
              <w:top w:val="nil"/>
              <w:left w:val="nil"/>
              <w:bottom w:val="nil"/>
              <w:right w:val="nil"/>
            </w:tcBorders>
            <w:tcMar/>
          </w:tcPr>
          <w:p w:rsidR="00C84CD8" w:rsidP="4EFF0F23" w:rsidRDefault="00C84CD8" w14:paraId="09FB6A29" w14:textId="2DC08F59">
            <w:pPr>
              <w:rPr>
                <w:i w:val="1"/>
                <w:iCs w:val="1"/>
              </w:rPr>
            </w:pPr>
            <w:r w:rsidRPr="4EFF0F23" w:rsidR="4EFF0F23">
              <w:rPr>
                <w:i w:val="1"/>
                <w:iCs w:val="1"/>
              </w:rPr>
              <w:t xml:space="preserve">Note that the ladder reflects where the member/potential member is in their relationship/engagement with their union. </w:t>
            </w:r>
          </w:p>
        </w:tc>
      </w:tr>
      <w:tr w:rsidR="00140937" w:rsidTr="4EFF0F23" w14:paraId="4437054F" w14:textId="77777777">
        <w:tc>
          <w:tcPr>
            <w:tcW w:w="10800" w:type="dxa"/>
            <w:gridSpan w:val="2"/>
            <w:tcBorders>
              <w:top w:val="nil"/>
              <w:left w:val="nil"/>
              <w:bottom w:val="nil"/>
              <w:right w:val="nil"/>
            </w:tcBorders>
            <w:tcMar/>
          </w:tcPr>
          <w:p w:rsidR="00140937" w:rsidP="00C84CD8" w:rsidRDefault="00140937" w14:paraId="431CD57D" w14:textId="77777777"/>
        </w:tc>
      </w:tr>
      <w:tr w:rsidR="00C84CD8" w:rsidTr="4EFF0F23" w14:paraId="4CE720CF" w14:textId="77777777">
        <w:tc>
          <w:tcPr>
            <w:tcW w:w="2520" w:type="dxa"/>
            <w:tcBorders>
              <w:top w:val="nil"/>
              <w:left w:val="thinThickThinMediumGap" w:color="auto" w:sz="24" w:space="0"/>
              <w:bottom w:val="thinThickThinMediumGap" w:color="auto" w:sz="24" w:space="0"/>
              <w:right w:val="thinThickThinMediumGap" w:color="auto" w:sz="24" w:space="0"/>
            </w:tcBorders>
            <w:tcMar/>
          </w:tcPr>
          <w:p w:rsidRPr="00C84CD8" w:rsidR="00C84CD8" w:rsidP="00C84CD8" w:rsidRDefault="00C84CD8" w14:paraId="01435326" w14:textId="77777777">
            <w:pPr>
              <w:rPr>
                <w:sz w:val="44"/>
                <w:szCs w:val="44"/>
              </w:rPr>
            </w:pPr>
            <w:bookmarkStart w:name="_GoBack" w:colFirst="0" w:colLast="2" w:id="0"/>
          </w:p>
        </w:tc>
        <w:tc>
          <w:tcPr>
            <w:tcW w:w="8280" w:type="dxa"/>
            <w:tcBorders>
              <w:top w:val="nil"/>
              <w:left w:val="thinThickThinMediumGap" w:color="auto" w:sz="24" w:space="0"/>
              <w:right w:val="nil"/>
            </w:tcBorders>
            <w:tcMar/>
          </w:tcPr>
          <w:p w:rsidR="00C84CD8" w:rsidP="00C84CD8" w:rsidRDefault="00C84CD8" w14:paraId="0ED9999F" w14:textId="77777777"/>
        </w:tc>
      </w:tr>
      <w:tr w:rsidR="00C84CD8" w:rsidTr="4EFF0F23" w14:paraId="240D6ADA" w14:textId="77777777">
        <w:tc>
          <w:tcPr>
            <w:tcW w:w="2520" w:type="dxa"/>
            <w:tcBorders>
              <w:top w:val="thinThickThinMediumGap" w:color="auto" w:sz="24" w:space="0"/>
              <w:left w:val="thinThickThinMediumGap" w:color="auto" w:sz="24" w:space="0"/>
              <w:bottom w:val="thinThickThinMediumGap" w:color="auto" w:sz="24" w:space="0"/>
              <w:right w:val="thinThickThinMediumGap" w:color="auto" w:sz="24" w:space="0"/>
            </w:tcBorders>
            <w:tcMar/>
          </w:tcPr>
          <w:p w:rsidRPr="00C84CD8" w:rsidR="00C84CD8" w:rsidP="00C84CD8" w:rsidRDefault="00C84CD8" w14:paraId="7F93E119" w14:textId="4B2A9950">
            <w:pPr>
              <w:rPr>
                <w:sz w:val="44"/>
                <w:szCs w:val="44"/>
              </w:rPr>
            </w:pPr>
            <w:r w:rsidRPr="00C84CD8">
              <w:rPr>
                <w:sz w:val="44"/>
                <w:szCs w:val="44"/>
              </w:rPr>
              <w:t>Planning</w:t>
            </w:r>
          </w:p>
        </w:tc>
        <w:tc>
          <w:tcPr>
            <w:tcW w:w="8280" w:type="dxa"/>
            <w:tcBorders>
              <w:left w:val="thinThickThinMediumGap" w:color="auto" w:sz="24" w:space="0"/>
            </w:tcBorders>
            <w:tcMar/>
          </w:tcPr>
          <w:p w:rsidR="00C84CD8" w:rsidP="00C84CD8" w:rsidRDefault="00C84CD8" w14:paraId="672F7E4E" w14:textId="77777777"/>
        </w:tc>
      </w:tr>
      <w:tr w:rsidR="00C84CD8" w:rsidTr="4EFF0F23" w14:paraId="38497CAA" w14:textId="77777777">
        <w:tc>
          <w:tcPr>
            <w:tcW w:w="2520" w:type="dxa"/>
            <w:tcBorders>
              <w:top w:val="thinThickThinMediumGap" w:color="auto" w:sz="24" w:space="0"/>
              <w:left w:val="thinThickThinMediumGap" w:color="auto" w:sz="24" w:space="0"/>
              <w:bottom w:val="thinThickThinMediumGap" w:color="auto" w:sz="24" w:space="0"/>
              <w:right w:val="thinThickThinMediumGap" w:color="auto" w:sz="24" w:space="0"/>
            </w:tcBorders>
            <w:tcMar/>
          </w:tcPr>
          <w:p w:rsidRPr="00C84CD8" w:rsidR="00C84CD8" w:rsidP="00C84CD8" w:rsidRDefault="00C84CD8" w14:paraId="31C8F1FB" w14:textId="3C486C34">
            <w:pPr>
              <w:rPr>
                <w:sz w:val="44"/>
                <w:szCs w:val="44"/>
              </w:rPr>
            </w:pPr>
            <w:r w:rsidRPr="00C84CD8">
              <w:rPr>
                <w:sz w:val="44"/>
                <w:szCs w:val="44"/>
              </w:rPr>
              <w:t>Coaching</w:t>
            </w:r>
          </w:p>
        </w:tc>
        <w:tc>
          <w:tcPr>
            <w:tcW w:w="8280" w:type="dxa"/>
            <w:tcBorders>
              <w:left w:val="thinThickThinMediumGap" w:color="auto" w:sz="24" w:space="0"/>
            </w:tcBorders>
            <w:tcMar/>
          </w:tcPr>
          <w:p w:rsidR="00C84CD8" w:rsidP="00C84CD8" w:rsidRDefault="00C84CD8" w14:paraId="04F7FA49" w14:textId="77777777"/>
        </w:tc>
      </w:tr>
      <w:tr w:rsidR="00C84CD8" w:rsidTr="4EFF0F23" w14:paraId="2E80A3C7" w14:textId="77777777">
        <w:tc>
          <w:tcPr>
            <w:tcW w:w="2520" w:type="dxa"/>
            <w:tcBorders>
              <w:top w:val="thinThickThinMediumGap" w:color="auto" w:sz="24" w:space="0"/>
              <w:left w:val="thinThickThinMediumGap" w:color="auto" w:sz="24" w:space="0"/>
              <w:bottom w:val="thinThickThinMediumGap" w:color="auto" w:sz="24" w:space="0"/>
              <w:right w:val="thinThickThinMediumGap" w:color="auto" w:sz="24" w:space="0"/>
            </w:tcBorders>
            <w:tcMar/>
          </w:tcPr>
          <w:p w:rsidRPr="00C84CD8" w:rsidR="00C84CD8" w:rsidP="00C84CD8" w:rsidRDefault="00C84CD8" w14:paraId="76405DCC" w14:textId="416BCE13">
            <w:pPr>
              <w:rPr>
                <w:sz w:val="44"/>
                <w:szCs w:val="44"/>
              </w:rPr>
            </w:pPr>
            <w:r w:rsidRPr="00C84CD8">
              <w:rPr>
                <w:sz w:val="44"/>
                <w:szCs w:val="44"/>
              </w:rPr>
              <w:t>Partnering</w:t>
            </w:r>
          </w:p>
        </w:tc>
        <w:tc>
          <w:tcPr>
            <w:tcW w:w="8280" w:type="dxa"/>
            <w:tcBorders>
              <w:left w:val="thinThickThinMediumGap" w:color="auto" w:sz="24" w:space="0"/>
            </w:tcBorders>
            <w:tcMar/>
          </w:tcPr>
          <w:p w:rsidR="00C84CD8" w:rsidP="00C84CD8" w:rsidRDefault="00C84CD8" w14:paraId="1E5B455C" w14:textId="77777777"/>
        </w:tc>
      </w:tr>
      <w:tr w:rsidR="00C84CD8" w:rsidTr="4EFF0F23" w14:paraId="2D292C4D" w14:textId="77777777">
        <w:tc>
          <w:tcPr>
            <w:tcW w:w="2520" w:type="dxa"/>
            <w:tcBorders>
              <w:top w:val="thinThickThinMediumGap" w:color="auto" w:sz="24" w:space="0"/>
              <w:left w:val="thinThickThinMediumGap" w:color="auto" w:sz="24" w:space="0"/>
              <w:bottom w:val="thinThickThinMediumGap" w:color="auto" w:sz="24" w:space="0"/>
              <w:right w:val="thinThickThinMediumGap" w:color="auto" w:sz="24" w:space="0"/>
            </w:tcBorders>
            <w:tcMar/>
          </w:tcPr>
          <w:p w:rsidRPr="00C84CD8" w:rsidR="00C84CD8" w:rsidP="00C84CD8" w:rsidRDefault="00C84CD8" w14:paraId="1817DC77" w14:textId="5FCD77CE">
            <w:pPr>
              <w:rPr>
                <w:sz w:val="44"/>
                <w:szCs w:val="44"/>
              </w:rPr>
            </w:pPr>
            <w:r w:rsidRPr="00C84CD8">
              <w:rPr>
                <w:sz w:val="44"/>
                <w:szCs w:val="44"/>
              </w:rPr>
              <w:t>Included</w:t>
            </w:r>
          </w:p>
        </w:tc>
        <w:tc>
          <w:tcPr>
            <w:tcW w:w="8280" w:type="dxa"/>
            <w:tcBorders>
              <w:left w:val="thinThickThinMediumGap" w:color="auto" w:sz="24" w:space="0"/>
            </w:tcBorders>
            <w:tcMar/>
          </w:tcPr>
          <w:p w:rsidR="00C84CD8" w:rsidP="00C84CD8" w:rsidRDefault="00C84CD8" w14:paraId="66718C88" w14:textId="77777777"/>
        </w:tc>
      </w:tr>
      <w:tr w:rsidR="00C84CD8" w:rsidTr="4EFF0F23" w14:paraId="0DD4F0D0" w14:textId="77777777">
        <w:tc>
          <w:tcPr>
            <w:tcW w:w="2520" w:type="dxa"/>
            <w:tcBorders>
              <w:top w:val="thinThickThinMediumGap" w:color="auto" w:sz="24" w:space="0"/>
              <w:left w:val="thinThickThinMediumGap" w:color="auto" w:sz="24" w:space="0"/>
              <w:bottom w:val="thinThickThinMediumGap" w:color="auto" w:sz="24" w:space="0"/>
              <w:right w:val="thinThickThinMediumGap" w:color="auto" w:sz="24" w:space="0"/>
            </w:tcBorders>
            <w:tcMar/>
          </w:tcPr>
          <w:p w:rsidRPr="00C84CD8" w:rsidR="00C84CD8" w:rsidP="00C84CD8" w:rsidRDefault="00C84CD8" w14:paraId="1F955938" w14:textId="687A0FEC">
            <w:pPr>
              <w:rPr>
                <w:sz w:val="44"/>
                <w:szCs w:val="44"/>
              </w:rPr>
            </w:pPr>
            <w:r w:rsidRPr="00C84CD8">
              <w:rPr>
                <w:sz w:val="44"/>
                <w:szCs w:val="44"/>
              </w:rPr>
              <w:t>Hooked</w:t>
            </w:r>
          </w:p>
        </w:tc>
        <w:tc>
          <w:tcPr>
            <w:tcW w:w="8280" w:type="dxa"/>
            <w:tcBorders>
              <w:left w:val="thinThickThinMediumGap" w:color="auto" w:sz="24" w:space="0"/>
            </w:tcBorders>
            <w:tcMar/>
          </w:tcPr>
          <w:p w:rsidR="00C84CD8" w:rsidP="00C84CD8" w:rsidRDefault="00C84CD8" w14:paraId="3F8C8B9E" w14:textId="77777777"/>
        </w:tc>
      </w:tr>
      <w:tr w:rsidR="00C84CD8" w:rsidTr="4EFF0F23" w14:paraId="593B68CD" w14:textId="77777777">
        <w:tc>
          <w:tcPr>
            <w:tcW w:w="2520" w:type="dxa"/>
            <w:tcBorders>
              <w:top w:val="thinThickThinMediumGap" w:color="auto" w:sz="24" w:space="0"/>
              <w:left w:val="thinThickThinMediumGap" w:color="auto" w:sz="24" w:space="0"/>
              <w:bottom w:val="thinThickThinMediumGap" w:color="auto" w:sz="24" w:space="0"/>
              <w:right w:val="thinThickThinMediumGap" w:color="auto" w:sz="24" w:space="0"/>
            </w:tcBorders>
            <w:tcMar/>
          </w:tcPr>
          <w:p w:rsidRPr="00C84CD8" w:rsidR="00C84CD8" w:rsidP="00C84CD8" w:rsidRDefault="00C84CD8" w14:paraId="3D2708D2" w14:textId="2DC1B4C4">
            <w:pPr>
              <w:rPr>
                <w:sz w:val="44"/>
                <w:szCs w:val="44"/>
              </w:rPr>
            </w:pPr>
            <w:r w:rsidRPr="00C84CD8">
              <w:rPr>
                <w:sz w:val="44"/>
                <w:szCs w:val="44"/>
              </w:rPr>
              <w:t>Activated</w:t>
            </w:r>
          </w:p>
        </w:tc>
        <w:tc>
          <w:tcPr>
            <w:tcW w:w="8280" w:type="dxa"/>
            <w:tcBorders>
              <w:left w:val="thinThickThinMediumGap" w:color="auto" w:sz="24" w:space="0"/>
            </w:tcBorders>
            <w:tcMar/>
          </w:tcPr>
          <w:p w:rsidR="00C84CD8" w:rsidP="00C84CD8" w:rsidRDefault="00C84CD8" w14:paraId="1D8A2F0B" w14:textId="77777777"/>
        </w:tc>
      </w:tr>
      <w:tr w:rsidR="00C84CD8" w:rsidTr="4EFF0F23" w14:paraId="73348806" w14:textId="77777777">
        <w:tc>
          <w:tcPr>
            <w:tcW w:w="2520" w:type="dxa"/>
            <w:tcBorders>
              <w:top w:val="thinThickThinMediumGap" w:color="auto" w:sz="24" w:space="0"/>
              <w:left w:val="thinThickThinMediumGap" w:color="auto" w:sz="24" w:space="0"/>
              <w:bottom w:val="thinThickThinMediumGap" w:color="auto" w:sz="24" w:space="0"/>
              <w:right w:val="thinThickThinMediumGap" w:color="auto" w:sz="24" w:space="0"/>
            </w:tcBorders>
            <w:tcMar/>
          </w:tcPr>
          <w:p w:rsidRPr="00C84CD8" w:rsidR="00C84CD8" w:rsidP="00C84CD8" w:rsidRDefault="00C84CD8" w14:paraId="573055F7" w14:textId="7B40897C">
            <w:pPr>
              <w:rPr>
                <w:sz w:val="44"/>
                <w:szCs w:val="44"/>
              </w:rPr>
            </w:pPr>
            <w:r w:rsidRPr="00C84CD8">
              <w:rPr>
                <w:sz w:val="44"/>
                <w:szCs w:val="44"/>
              </w:rPr>
              <w:t>Intrigued</w:t>
            </w:r>
          </w:p>
        </w:tc>
        <w:tc>
          <w:tcPr>
            <w:tcW w:w="8280" w:type="dxa"/>
            <w:tcBorders>
              <w:left w:val="thinThickThinMediumGap" w:color="auto" w:sz="24" w:space="0"/>
            </w:tcBorders>
            <w:tcMar/>
          </w:tcPr>
          <w:p w:rsidR="00C84CD8" w:rsidP="00C84CD8" w:rsidRDefault="00C84CD8" w14:paraId="745EC83B" w14:textId="77777777"/>
        </w:tc>
      </w:tr>
      <w:tr w:rsidR="00C84CD8" w:rsidTr="4EFF0F23" w14:paraId="50F07241" w14:textId="77777777">
        <w:tc>
          <w:tcPr>
            <w:tcW w:w="2520" w:type="dxa"/>
            <w:tcBorders>
              <w:top w:val="thinThickThinMediumGap" w:color="auto" w:sz="24" w:space="0"/>
              <w:left w:val="thinThickThinMediumGap" w:color="auto" w:sz="24" w:space="0"/>
              <w:bottom w:val="thinThickThinMediumGap" w:color="auto" w:sz="24" w:space="0"/>
              <w:right w:val="thinThickThinMediumGap" w:color="auto" w:sz="24" w:space="0"/>
            </w:tcBorders>
            <w:tcMar/>
          </w:tcPr>
          <w:p w:rsidRPr="00C84CD8" w:rsidR="00C84CD8" w:rsidP="00C84CD8" w:rsidRDefault="00C84CD8" w14:paraId="4153537A" w14:textId="75E7426B">
            <w:pPr>
              <w:rPr>
                <w:sz w:val="44"/>
                <w:szCs w:val="44"/>
              </w:rPr>
            </w:pPr>
            <w:r w:rsidRPr="00C84CD8">
              <w:rPr>
                <w:sz w:val="44"/>
                <w:szCs w:val="44"/>
              </w:rPr>
              <w:t>Interested</w:t>
            </w:r>
          </w:p>
        </w:tc>
        <w:tc>
          <w:tcPr>
            <w:tcW w:w="8280" w:type="dxa"/>
            <w:tcBorders>
              <w:left w:val="thinThickThinMediumGap" w:color="auto" w:sz="24" w:space="0"/>
            </w:tcBorders>
            <w:tcMar/>
          </w:tcPr>
          <w:p w:rsidR="00C84CD8" w:rsidP="00C84CD8" w:rsidRDefault="00C84CD8" w14:paraId="34B64E8E" w14:textId="77777777"/>
        </w:tc>
      </w:tr>
      <w:tr w:rsidR="00C84CD8" w:rsidTr="4EFF0F23" w14:paraId="5BE21551" w14:textId="77777777">
        <w:tc>
          <w:tcPr>
            <w:tcW w:w="2520" w:type="dxa"/>
            <w:tcBorders>
              <w:top w:val="thinThickThinMediumGap" w:color="auto" w:sz="24" w:space="0"/>
              <w:left w:val="thinThickThinMediumGap" w:color="auto" w:sz="24" w:space="0"/>
              <w:bottom w:val="thinThickThinMediumGap" w:color="auto" w:sz="24" w:space="0"/>
              <w:right w:val="thinThickThinMediumGap" w:color="auto" w:sz="24" w:space="0"/>
            </w:tcBorders>
            <w:tcMar/>
          </w:tcPr>
          <w:p w:rsidRPr="00C84CD8" w:rsidR="00C84CD8" w:rsidP="00C84CD8" w:rsidRDefault="00C84CD8" w14:paraId="0642B81A" w14:textId="43EC041F">
            <w:pPr>
              <w:rPr>
                <w:sz w:val="44"/>
                <w:szCs w:val="44"/>
              </w:rPr>
            </w:pPr>
            <w:r w:rsidRPr="00C84CD8">
              <w:rPr>
                <w:sz w:val="44"/>
                <w:szCs w:val="44"/>
              </w:rPr>
              <w:t>Aware</w:t>
            </w:r>
          </w:p>
        </w:tc>
        <w:tc>
          <w:tcPr>
            <w:tcW w:w="8280" w:type="dxa"/>
            <w:tcBorders>
              <w:left w:val="thinThickThinMediumGap" w:color="auto" w:sz="24" w:space="0"/>
            </w:tcBorders>
            <w:tcMar/>
          </w:tcPr>
          <w:p w:rsidR="00C84CD8" w:rsidP="00C84CD8" w:rsidRDefault="00C84CD8" w14:paraId="489D76C4" w14:textId="1878FD56"/>
        </w:tc>
      </w:tr>
      <w:tr w:rsidR="00C84CD8" w:rsidTr="4EFF0F23" w14:paraId="79CE1226" w14:textId="77777777">
        <w:tc>
          <w:tcPr>
            <w:tcW w:w="2520" w:type="dxa"/>
            <w:tcBorders>
              <w:top w:val="thinThickThinMediumGap" w:color="auto" w:sz="24" w:space="0"/>
              <w:left w:val="thinThickThinMediumGap" w:color="auto" w:sz="24" w:space="0"/>
              <w:bottom w:val="thinThickThinMediumGap" w:color="auto" w:sz="24" w:space="0"/>
              <w:right w:val="thinThickThinMediumGap" w:color="auto" w:sz="24" w:space="0"/>
            </w:tcBorders>
            <w:tcMar/>
          </w:tcPr>
          <w:p w:rsidRPr="00C84CD8" w:rsidR="00C84CD8" w:rsidP="00C84CD8" w:rsidRDefault="00C84CD8" w14:paraId="0B58B5A5" w14:textId="6D9A881C">
            <w:pPr>
              <w:rPr>
                <w:sz w:val="44"/>
                <w:szCs w:val="44"/>
              </w:rPr>
            </w:pPr>
            <w:r w:rsidRPr="00C84CD8">
              <w:rPr>
                <w:sz w:val="44"/>
                <w:szCs w:val="44"/>
              </w:rPr>
              <w:t>Unaware</w:t>
            </w:r>
          </w:p>
        </w:tc>
        <w:tc>
          <w:tcPr>
            <w:tcW w:w="8280" w:type="dxa"/>
            <w:tcBorders>
              <w:left w:val="thinThickThinMediumGap" w:color="auto" w:sz="24" w:space="0"/>
            </w:tcBorders>
            <w:tcMar/>
          </w:tcPr>
          <w:p w:rsidR="00C84CD8" w:rsidP="00C84CD8" w:rsidRDefault="00C84CD8" w14:paraId="653D4006" w14:textId="67AF987D"/>
        </w:tc>
      </w:tr>
      <w:tr w:rsidR="00C84CD8" w:rsidTr="4EFF0F23" w14:paraId="71F92202" w14:textId="77777777">
        <w:tc>
          <w:tcPr>
            <w:tcW w:w="2520" w:type="dxa"/>
            <w:tcBorders>
              <w:top w:val="thinThickThinMediumGap" w:color="auto" w:sz="24" w:space="0"/>
              <w:left w:val="thinThickThinMediumGap" w:color="auto" w:sz="24" w:space="0"/>
              <w:bottom w:val="nil"/>
              <w:right w:val="thinThickThinMediumGap" w:color="auto" w:sz="24" w:space="0"/>
            </w:tcBorders>
            <w:tcMar/>
          </w:tcPr>
          <w:p w:rsidRPr="00C84CD8" w:rsidR="00C84CD8" w:rsidP="00C84CD8" w:rsidRDefault="00C84CD8" w14:paraId="6F707B4F" w14:textId="77777777">
            <w:pPr>
              <w:rPr>
                <w:sz w:val="44"/>
                <w:szCs w:val="44"/>
              </w:rPr>
            </w:pPr>
          </w:p>
        </w:tc>
        <w:tc>
          <w:tcPr>
            <w:tcW w:w="8280" w:type="dxa"/>
            <w:tcBorders>
              <w:left w:val="thinThickThinMediumGap" w:color="auto" w:sz="24" w:space="0"/>
            </w:tcBorders>
            <w:tcMar/>
          </w:tcPr>
          <w:p w:rsidR="00C84CD8" w:rsidP="00C84CD8" w:rsidRDefault="00C84CD8" w14:paraId="49378514" w14:textId="77777777"/>
        </w:tc>
      </w:tr>
      <w:bookmarkEnd w:id="0"/>
    </w:tbl>
    <w:p w:rsidR="00C84CD8" w:rsidRDefault="00C84CD8" w14:paraId="2DD75D95" w14:textId="4475FA41"/>
    <w:sectPr w:rsidR="00C84CD8" w:rsidSect="004E69B6">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proofState w:spelling="clean" w:grammar="dirty"/>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CD8"/>
    <w:rsid w:val="00140937"/>
    <w:rsid w:val="00412DF2"/>
    <w:rsid w:val="004E69B6"/>
    <w:rsid w:val="00646923"/>
    <w:rsid w:val="00893896"/>
    <w:rsid w:val="00C84CD8"/>
    <w:rsid w:val="4EFF0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606D5"/>
  <w15:chartTrackingRefBased/>
  <w15:docId w15:val="{A885A4A9-173B-405A-9748-27C37A4BB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C84CD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646923"/>
    <w:pPr>
      <w:spacing w:before="100" w:beforeAutospacing="1" w:after="100" w:afterAutospacing="1" w:line="240" w:lineRule="auto"/>
    </w:pPr>
    <w:rPr>
      <w:rFonts w:ascii="Times New Roman" w:hAnsi="Times New Roman" w:eastAsia="Times New Roman" w:cs="Times New Roman"/>
      <w:sz w:val="24"/>
      <w:szCs w:val="24"/>
    </w:rPr>
  </w:style>
  <w:style w:type="character" w:styleId="Hyperlink">
    <w:name w:val="Hyperlink"/>
    <w:basedOn w:val="DefaultParagraphFont"/>
    <w:uiPriority w:val="99"/>
    <w:semiHidden/>
    <w:unhideWhenUsed/>
    <w:rsid w:val="006469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7879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politics.com/2015/03/26/the-urgency-of-digital-organizing-part-two-empowering-activists-with-leadership/"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0C0A6EED-A11B-4174-847C-0271B02DA37E}"/>
</file>

<file path=customXml/itemProps2.xml><?xml version="1.0" encoding="utf-8"?>
<ds:datastoreItem xmlns:ds="http://schemas.openxmlformats.org/officeDocument/2006/customXml" ds:itemID="{317A13FA-C3B5-479C-83B4-65ACB1BA49C6}"/>
</file>

<file path=customXml/itemProps3.xml><?xml version="1.0" encoding="utf-8"?>
<ds:datastoreItem xmlns:ds="http://schemas.openxmlformats.org/officeDocument/2006/customXml" ds:itemID="{7F35FF23-0905-4A84-9033-8B48C939B9E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3</cp:revision>
  <dcterms:created xsi:type="dcterms:W3CDTF">2019-04-05T17:54:00Z</dcterms:created>
  <dcterms:modified xsi:type="dcterms:W3CDTF">2023-01-04T21:15:03Z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