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4E69B6" w:rsidR="004E69B6" w:rsidP="00646923" w:rsidRDefault="004E69B6" w14:paraId="055D0A9E" w14:textId="77777777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b/>
          <w:color w:val="000000" w:themeColor="text1"/>
          <w:sz w:val="32"/>
          <w:szCs w:val="32"/>
        </w:rPr>
      </w:pPr>
      <w:r w:rsidRPr="004E69B6">
        <w:rPr>
          <w:rFonts w:ascii="Arial" w:hAnsi="Arial" w:cs="Arial"/>
          <w:b/>
          <w:color w:val="000000" w:themeColor="text1"/>
          <w:sz w:val="32"/>
          <w:szCs w:val="32"/>
        </w:rPr>
        <w:t>Ladder of Engagement</w:t>
      </w:r>
    </w:p>
    <w:p w:rsidRPr="004E69B6" w:rsidR="00646923" w:rsidP="00646923" w:rsidRDefault="00646923" w14:paraId="1325C6CA" w14:textId="2DBAE52E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 w:themeColor="text1"/>
          <w:sz w:val="22"/>
          <w:szCs w:val="22"/>
        </w:rPr>
      </w:pPr>
      <w:proofErr w:type="spellStart"/>
      <w:r w:rsidRPr="004E69B6">
        <w:rPr>
          <w:rFonts w:ascii="Arial" w:hAnsi="Arial" w:cs="Arial"/>
          <w:color w:val="000000" w:themeColor="text1"/>
          <w:sz w:val="22"/>
          <w:szCs w:val="22"/>
        </w:rPr>
        <w:t>Hahrie</w:t>
      </w:r>
      <w:proofErr w:type="spellEnd"/>
      <w:r w:rsidRPr="004E69B6">
        <w:rPr>
          <w:rFonts w:ascii="Arial" w:hAnsi="Arial" w:cs="Arial"/>
          <w:color w:val="000000" w:themeColor="text1"/>
          <w:sz w:val="22"/>
          <w:szCs w:val="22"/>
        </w:rPr>
        <w:t xml:space="preserve"> Han wrote that the Ladder of Engagement is “the difference between organizing events and organizing organizers” (</w:t>
      </w:r>
      <w:hyperlink w:tooltip="epolitics" w:history="1" r:id="rId4">
        <w:r w:rsidRPr="004E69B6">
          <w:rPr>
            <w:rStyle w:val="Hyperlink"/>
            <w:rFonts w:ascii="Arial" w:hAnsi="Arial" w:cs="Arial"/>
            <w:color w:val="000000" w:themeColor="text1"/>
            <w:sz w:val="22"/>
            <w:szCs w:val="22"/>
            <w:u w:val="none"/>
          </w:rPr>
          <w:t>2015</w:t>
        </w:r>
      </w:hyperlink>
      <w:r w:rsidRPr="004E69B6">
        <w:rPr>
          <w:rFonts w:ascii="Arial" w:hAnsi="Arial" w:cs="Arial"/>
          <w:color w:val="000000" w:themeColor="text1"/>
          <w:sz w:val="22"/>
          <w:szCs w:val="22"/>
        </w:rPr>
        <w:t>).</w:t>
      </w:r>
      <w:r w:rsidR="004E69B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:rsidRPr="004E69B6" w:rsidR="00646923" w:rsidP="71BBBA84" w:rsidRDefault="00646923" w14:paraId="2B47EDE7" w14:textId="1AA17349">
      <w:pPr>
        <w:pStyle w:val="NormalWeb"/>
        <w:shd w:val="clear" w:color="auto" w:fill="FFFFFF" w:themeFill="background1"/>
        <w:spacing w:before="0" w:beforeAutospacing="off" w:after="150" w:afterAutospacing="off"/>
        <w:rPr>
          <w:rFonts w:ascii="Arial" w:hAnsi="Arial" w:cs="Arial"/>
          <w:color w:val="000000" w:themeColor="text1"/>
          <w:sz w:val="22"/>
          <w:szCs w:val="22"/>
        </w:rPr>
      </w:pPr>
      <w:r w:rsidRPr="71BBBA84" w:rsidR="00646923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When </w:t>
      </w:r>
      <w:r w:rsidRPr="71BBBA84" w:rsidR="00646923">
        <w:rPr>
          <w:rFonts w:ascii="Arial" w:hAnsi="Arial" w:cs="Arial"/>
          <w:color w:val="000000" w:themeColor="text1" w:themeTint="FF" w:themeShade="FF"/>
          <w:sz w:val="22"/>
          <w:szCs w:val="22"/>
        </w:rPr>
        <w:t>we’re</w:t>
      </w:r>
      <w:r w:rsidRPr="71BBBA84" w:rsidR="00646923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bringing people into our </w:t>
      </w:r>
      <w:r w:rsidRPr="71BBBA84" w:rsidR="00646923">
        <w:rPr>
          <w:rFonts w:ascii="Arial" w:hAnsi="Arial" w:cs="Arial"/>
          <w:color w:val="000000" w:themeColor="text1" w:themeTint="FF" w:themeShade="FF"/>
          <w:sz w:val="22"/>
          <w:szCs w:val="22"/>
        </w:rPr>
        <w:t>unions</w:t>
      </w:r>
      <w:r w:rsidRPr="71BBBA84" w:rsidR="7FF2AB90">
        <w:rPr>
          <w:rFonts w:ascii="Arial" w:hAnsi="Arial" w:cs="Arial"/>
          <w:color w:val="000000" w:themeColor="text1" w:themeTint="FF" w:themeShade="FF"/>
          <w:sz w:val="22"/>
          <w:szCs w:val="22"/>
        </w:rPr>
        <w:t>,</w:t>
      </w:r>
      <w:r w:rsidRPr="71BBBA84" w:rsidR="00646923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we want to think about how we can constantly scale up our engagement </w:t>
      </w:r>
      <w:r w:rsidRPr="71BBBA84" w:rsidR="004E69B6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from making them aware all the way up the ladder to planning the work of the union. </w:t>
      </w:r>
      <w:r w:rsidRPr="71BBBA84" w:rsidR="004E69B6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Each step of the ladder allows </w:t>
      </w:r>
      <w:r w:rsidRPr="71BBBA84" w:rsidR="00646923">
        <w:rPr>
          <w:rFonts w:ascii="Arial" w:hAnsi="Arial" w:cs="Arial"/>
          <w:color w:val="000000" w:themeColor="text1" w:themeTint="FF" w:themeShade="FF"/>
          <w:sz w:val="22"/>
          <w:szCs w:val="22"/>
        </w:rPr>
        <w:t>more and more</w:t>
      </w:r>
      <w:r w:rsidRPr="71BBBA84" w:rsidR="004E69B6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engagement and loyalty in the shared</w:t>
      </w:r>
      <w:r w:rsidRPr="71BBBA84" w:rsidR="00646923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values</w:t>
      </w:r>
      <w:r w:rsidRPr="71BBBA84" w:rsidR="004E69B6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and </w:t>
      </w:r>
      <w:r w:rsidRPr="71BBBA84" w:rsidR="00646923">
        <w:rPr>
          <w:rFonts w:ascii="Arial" w:hAnsi="Arial" w:cs="Arial"/>
          <w:color w:val="000000" w:themeColor="text1" w:themeTint="FF" w:themeShade="FF"/>
          <w:sz w:val="22"/>
          <w:szCs w:val="22"/>
        </w:rPr>
        <w:t>campaign</w:t>
      </w:r>
      <w:r w:rsidRPr="71BBBA84" w:rsidR="004E69B6">
        <w:rPr>
          <w:rFonts w:ascii="Arial" w:hAnsi="Arial" w:cs="Arial"/>
          <w:color w:val="000000" w:themeColor="text1" w:themeTint="FF" w:themeShade="FF"/>
          <w:sz w:val="22"/>
          <w:szCs w:val="22"/>
        </w:rPr>
        <w:t>s.</w:t>
      </w:r>
      <w:r w:rsidRPr="71BBBA84" w:rsidR="004E69B6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 w:rsidRPr="71BBBA84" w:rsidR="004E69B6">
        <w:rPr>
          <w:rFonts w:ascii="Arial" w:hAnsi="Arial" w:cs="Arial"/>
          <w:color w:val="000000" w:themeColor="text1" w:themeTint="FF" w:themeShade="FF"/>
          <w:sz w:val="22"/>
          <w:szCs w:val="22"/>
        </w:rPr>
        <w:t>It is this increased engagement that allows people to build their capacity to lead in more and more ways</w:t>
      </w:r>
      <w:r w:rsidRPr="71BBBA84" w:rsidR="00646923">
        <w:rPr>
          <w:rFonts w:ascii="Arial" w:hAnsi="Arial" w:cs="Arial"/>
          <w:color w:val="000000" w:themeColor="text1" w:themeTint="FF" w:themeShade="FF"/>
          <w:sz w:val="22"/>
          <w:szCs w:val="22"/>
        </w:rPr>
        <w:t>.</w:t>
      </w:r>
    </w:p>
    <w:p w:rsidR="00646923" w:rsidP="71BBBA84" w:rsidRDefault="004E69B6" w14:paraId="284A10F6" w14:textId="6D51FFCB">
      <w:pPr>
        <w:pStyle w:val="NormalWeb"/>
        <w:shd w:val="clear" w:color="auto" w:fill="FFFFFF" w:themeFill="background1"/>
        <w:spacing w:before="0" w:beforeAutospacing="off" w:after="150" w:afterAutospacing="off"/>
        <w:rPr>
          <w:rFonts w:ascii="Arial" w:hAnsi="Arial" w:cs="Arial"/>
          <w:color w:val="000000" w:themeColor="text1"/>
          <w:sz w:val="22"/>
          <w:szCs w:val="22"/>
        </w:rPr>
      </w:pPr>
      <w:r w:rsidRPr="71BBBA84" w:rsidR="004E69B6">
        <w:rPr>
          <w:rFonts w:ascii="Arial" w:hAnsi="Arial" w:cs="Arial"/>
          <w:color w:val="000000" w:themeColor="text1" w:themeTint="FF" w:themeShade="FF"/>
          <w:sz w:val="22"/>
          <w:szCs w:val="22"/>
        </w:rPr>
        <w:t>The most trusted and credible o</w:t>
      </w:r>
      <w:r w:rsidRPr="71BBBA84" w:rsidR="00646923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f </w:t>
      </w:r>
      <w:r w:rsidRPr="71BBBA84" w:rsidR="004E69B6">
        <w:rPr>
          <w:rFonts w:ascii="Arial" w:hAnsi="Arial" w:cs="Arial"/>
          <w:color w:val="000000" w:themeColor="text1" w:themeTint="FF" w:themeShade="FF"/>
          <w:sz w:val="22"/>
          <w:szCs w:val="22"/>
        </w:rPr>
        <w:t>union leaders</w:t>
      </w:r>
      <w:r w:rsidRPr="71BBBA84" w:rsidR="004E69B6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are found at the top of the ladder</w:t>
      </w:r>
      <w:r w:rsidRPr="71BBBA84" w:rsidR="004E69B6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.  </w:t>
      </w:r>
      <w:r w:rsidRPr="71BBBA84" w:rsidR="004E69B6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They </w:t>
      </w:r>
      <w:r w:rsidRPr="71BBBA84" w:rsidR="004E69B6">
        <w:rPr>
          <w:rFonts w:ascii="Arial" w:hAnsi="Arial" w:cs="Arial"/>
          <w:color w:val="000000" w:themeColor="text1" w:themeTint="FF" w:themeShade="FF"/>
          <w:sz w:val="22"/>
          <w:szCs w:val="22"/>
        </w:rPr>
        <w:t>are responsible for</w:t>
      </w:r>
      <w:r w:rsidRPr="71BBBA84" w:rsidR="004E69B6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the continual recruitment of people to the ladder and the work of moving people up the ladder. Divvying up</w:t>
      </w:r>
      <w:r w:rsidRPr="71BBBA84" w:rsidR="00646923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the </w:t>
      </w:r>
      <w:r w:rsidRPr="71BBBA84" w:rsidR="004E69B6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important </w:t>
      </w:r>
      <w:r w:rsidRPr="71BBBA84" w:rsidR="004E69B6">
        <w:rPr>
          <w:rFonts w:ascii="Arial" w:hAnsi="Arial" w:cs="Arial"/>
          <w:color w:val="000000" w:themeColor="text1" w:themeTint="FF" w:themeShade="FF"/>
          <w:sz w:val="22"/>
          <w:szCs w:val="22"/>
        </w:rPr>
        <w:t>responsibility</w:t>
      </w:r>
      <w:r w:rsidRPr="71BBBA84" w:rsidR="00646923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of recruitment</w:t>
      </w:r>
      <w:r w:rsidRPr="71BBBA84" w:rsidR="004E69B6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and engagement</w:t>
      </w:r>
      <w:r w:rsidRPr="71BBBA84" w:rsidR="00646923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building </w:t>
      </w:r>
      <w:r w:rsidRPr="71BBBA84" w:rsidR="004E69B6">
        <w:rPr>
          <w:rFonts w:ascii="Arial" w:hAnsi="Arial" w:cs="Arial"/>
          <w:color w:val="000000" w:themeColor="text1" w:themeTint="FF" w:themeShade="FF"/>
          <w:sz w:val="22"/>
          <w:szCs w:val="22"/>
        </w:rPr>
        <w:t>across leaders AND</w:t>
      </w:r>
      <w:r w:rsidRPr="71BBBA84" w:rsidR="00646923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making it clear that their work is </w:t>
      </w:r>
      <w:r w:rsidRPr="71BBBA84" w:rsidR="000189C8">
        <w:rPr>
          <w:rFonts w:ascii="Arial" w:hAnsi="Arial" w:cs="Arial"/>
          <w:color w:val="000000" w:themeColor="text1" w:themeTint="FF" w:themeShade="FF"/>
          <w:sz w:val="22"/>
          <w:szCs w:val="22"/>
        </w:rPr>
        <w:t>needed,</w:t>
      </w:r>
      <w:r w:rsidRPr="71BBBA84" w:rsidR="00646923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 w:rsidRPr="71BBBA84" w:rsidR="00646923">
        <w:rPr>
          <w:rFonts w:ascii="Arial" w:hAnsi="Arial" w:cs="Arial"/>
          <w:color w:val="000000" w:themeColor="text1" w:themeTint="FF" w:themeShade="FF"/>
          <w:sz w:val="22"/>
          <w:szCs w:val="22"/>
        </w:rPr>
        <w:t>they’ll</w:t>
      </w:r>
      <w:r w:rsidRPr="71BBBA84" w:rsidR="00646923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respond with their commitment to the </w:t>
      </w:r>
      <w:r w:rsidRPr="71BBBA84" w:rsidR="004E69B6">
        <w:rPr>
          <w:rFonts w:ascii="Arial" w:hAnsi="Arial" w:cs="Arial"/>
          <w:color w:val="000000" w:themeColor="text1" w:themeTint="FF" w:themeShade="FF"/>
          <w:sz w:val="22"/>
          <w:szCs w:val="22"/>
        </w:rPr>
        <w:t>Union</w:t>
      </w:r>
      <w:r w:rsidRPr="71BBBA84" w:rsidR="00646923">
        <w:rPr>
          <w:rFonts w:ascii="Arial" w:hAnsi="Arial" w:cs="Arial"/>
          <w:color w:val="000000" w:themeColor="text1" w:themeTint="FF" w:themeShade="FF"/>
          <w:sz w:val="22"/>
          <w:szCs w:val="22"/>
        </w:rPr>
        <w:t>.</w:t>
      </w:r>
      <w:r w:rsidRPr="71BBBA84" w:rsidR="004E69B6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</w:t>
      </w:r>
      <w:r w:rsidRPr="71BBBA84" w:rsidR="00646923">
        <w:rPr>
          <w:rFonts w:ascii="Arial" w:hAnsi="Arial" w:cs="Arial"/>
          <w:color w:val="000000" w:themeColor="text1" w:themeTint="FF" w:themeShade="FF"/>
          <w:sz w:val="22"/>
          <w:szCs w:val="22"/>
        </w:rPr>
        <w:t>Ultimately, the</w:t>
      </w:r>
      <w:r w:rsidRPr="71BBBA84" w:rsidR="00646923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Ladder of Engagement is about building leaders.</w:t>
      </w:r>
    </w:p>
    <w:p w:rsidRPr="004E69B6" w:rsidR="004E69B6" w:rsidP="71BBBA84" w:rsidRDefault="00140937" w14:paraId="2F37DE90" w14:textId="45EEE01C">
      <w:pPr>
        <w:pStyle w:val="NormalWeb"/>
        <w:shd w:val="clear" w:color="auto" w:fill="FFFFFF" w:themeFill="background1"/>
        <w:spacing w:before="0" w:beforeAutospacing="off" w:after="150" w:afterAutospacing="off"/>
        <w:rPr>
          <w:rFonts w:ascii="Arial" w:hAnsi="Arial" w:cs="Arial"/>
          <w:color w:val="000000" w:themeColor="text1"/>
          <w:sz w:val="22"/>
          <w:szCs w:val="22"/>
        </w:rPr>
      </w:pPr>
      <w:r w:rsidRPr="71BBBA84" w:rsidR="00140937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What are the kinds of invitations that are used at </w:t>
      </w:r>
      <w:r w:rsidRPr="71BBBA84" w:rsidR="618D3039">
        <w:rPr>
          <w:rFonts w:ascii="Arial" w:hAnsi="Arial" w:cs="Arial"/>
          <w:color w:val="000000" w:themeColor="text1" w:themeTint="FF" w:themeShade="FF"/>
          <w:sz w:val="22"/>
          <w:szCs w:val="22"/>
        </w:rPr>
        <w:t>various</w:t>
      </w:r>
      <w:r w:rsidRPr="71BBBA84" w:rsidR="00140937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 levels</w:t>
      </w:r>
      <w:r w:rsidRPr="71BBBA84" w:rsidR="00412DF2">
        <w:rPr>
          <w:rFonts w:ascii="Arial" w:hAnsi="Arial" w:cs="Arial"/>
          <w:color w:val="000000" w:themeColor="text1" w:themeTint="FF" w:themeShade="FF"/>
          <w:sz w:val="22"/>
          <w:szCs w:val="22"/>
        </w:rPr>
        <w:t xml:space="preserve">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8280"/>
      </w:tblGrid>
      <w:tr w:rsidR="00C84CD8" w:rsidTr="00412DF2" w14:paraId="0D245B7F" w14:textId="77777777">
        <w:tc>
          <w:tcPr>
            <w:tcW w:w="10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84CD8" w:rsidP="00C84CD8" w:rsidRDefault="00C84CD8" w14:paraId="09FB6A29" w14:textId="77777777"/>
        </w:tc>
      </w:tr>
      <w:tr w:rsidR="00140937" w:rsidTr="00412DF2" w14:paraId="4437054F" w14:textId="77777777">
        <w:tc>
          <w:tcPr>
            <w:tcW w:w="10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0937" w:rsidP="00C84CD8" w:rsidRDefault="00140937" w14:paraId="431CD57D" w14:textId="77777777"/>
        </w:tc>
      </w:tr>
      <w:tr w:rsidR="00C84CD8" w:rsidTr="00412DF2" w14:paraId="4CE720CF" w14:textId="77777777">
        <w:tc>
          <w:tcPr>
            <w:tcW w:w="2520" w:type="dxa"/>
            <w:tcBorders>
              <w:top w:val="nil"/>
              <w:left w:val="thinThickThinMediumGap" w:color="auto" w:sz="24" w:space="0"/>
              <w:bottom w:val="thinThickThinMediumGap" w:color="auto" w:sz="24" w:space="0"/>
              <w:right w:val="thinThickThinMediumGap" w:color="auto" w:sz="24" w:space="0"/>
            </w:tcBorders>
          </w:tcPr>
          <w:p w:rsidRPr="00C84CD8" w:rsidR="00C84CD8" w:rsidP="00C84CD8" w:rsidRDefault="00C84CD8" w14:paraId="01435326" w14:textId="77777777">
            <w:pPr>
              <w:rPr>
                <w:sz w:val="44"/>
                <w:szCs w:val="44"/>
              </w:rPr>
            </w:pPr>
            <w:bookmarkStart w:name="_GoBack" w:colFirst="0" w:colLast="2" w:id="0"/>
          </w:p>
        </w:tc>
        <w:tc>
          <w:tcPr>
            <w:tcW w:w="8280" w:type="dxa"/>
            <w:tcBorders>
              <w:top w:val="nil"/>
              <w:left w:val="thinThickThinMediumGap" w:color="auto" w:sz="24" w:space="0"/>
              <w:right w:val="nil"/>
            </w:tcBorders>
          </w:tcPr>
          <w:p w:rsidR="00C84CD8" w:rsidP="00C84CD8" w:rsidRDefault="00C84CD8" w14:paraId="0ED9999F" w14:textId="77777777"/>
        </w:tc>
      </w:tr>
      <w:tr w:rsidR="00C84CD8" w:rsidTr="00412DF2" w14:paraId="240D6ADA" w14:textId="77777777">
        <w:tc>
          <w:tcPr>
            <w:tcW w:w="2520" w:type="dxa"/>
            <w:tcBorders>
              <w:top w:val="thinThickThinMediumGap" w:color="auto" w:sz="24" w:space="0"/>
              <w:left w:val="thinThickThinMediumGap" w:color="auto" w:sz="24" w:space="0"/>
              <w:bottom w:val="thinThickThinMediumGap" w:color="auto" w:sz="24" w:space="0"/>
              <w:right w:val="thinThickThinMediumGap" w:color="auto" w:sz="24" w:space="0"/>
            </w:tcBorders>
          </w:tcPr>
          <w:p w:rsidRPr="00C84CD8" w:rsidR="00C84CD8" w:rsidP="00C84CD8" w:rsidRDefault="00C84CD8" w14:paraId="7F93E119" w14:textId="4B2A9950">
            <w:pPr>
              <w:rPr>
                <w:sz w:val="44"/>
                <w:szCs w:val="44"/>
              </w:rPr>
            </w:pPr>
            <w:r w:rsidRPr="00C84CD8">
              <w:rPr>
                <w:sz w:val="44"/>
                <w:szCs w:val="44"/>
              </w:rPr>
              <w:t>Planning</w:t>
            </w:r>
          </w:p>
        </w:tc>
        <w:tc>
          <w:tcPr>
            <w:tcW w:w="8280" w:type="dxa"/>
            <w:tcBorders>
              <w:left w:val="thinThickThinMediumGap" w:color="auto" w:sz="24" w:space="0"/>
            </w:tcBorders>
          </w:tcPr>
          <w:p w:rsidR="00C84CD8" w:rsidP="00C84CD8" w:rsidRDefault="00C84CD8" w14:paraId="672F7E4E" w14:textId="77777777"/>
        </w:tc>
      </w:tr>
      <w:tr w:rsidR="00C84CD8" w:rsidTr="00412DF2" w14:paraId="38497CAA" w14:textId="77777777">
        <w:tc>
          <w:tcPr>
            <w:tcW w:w="2520" w:type="dxa"/>
            <w:tcBorders>
              <w:top w:val="thinThickThinMediumGap" w:color="auto" w:sz="24" w:space="0"/>
              <w:left w:val="thinThickThinMediumGap" w:color="auto" w:sz="24" w:space="0"/>
              <w:bottom w:val="thinThickThinMediumGap" w:color="auto" w:sz="24" w:space="0"/>
              <w:right w:val="thinThickThinMediumGap" w:color="auto" w:sz="24" w:space="0"/>
            </w:tcBorders>
          </w:tcPr>
          <w:p w:rsidRPr="00C84CD8" w:rsidR="00C84CD8" w:rsidP="00C84CD8" w:rsidRDefault="00C84CD8" w14:paraId="31C8F1FB" w14:textId="3C486C34">
            <w:pPr>
              <w:rPr>
                <w:sz w:val="44"/>
                <w:szCs w:val="44"/>
              </w:rPr>
            </w:pPr>
            <w:r w:rsidRPr="00C84CD8">
              <w:rPr>
                <w:sz w:val="44"/>
                <w:szCs w:val="44"/>
              </w:rPr>
              <w:t>Coaching</w:t>
            </w:r>
          </w:p>
        </w:tc>
        <w:tc>
          <w:tcPr>
            <w:tcW w:w="8280" w:type="dxa"/>
            <w:tcBorders>
              <w:left w:val="thinThickThinMediumGap" w:color="auto" w:sz="24" w:space="0"/>
            </w:tcBorders>
          </w:tcPr>
          <w:p w:rsidR="00C84CD8" w:rsidP="00C84CD8" w:rsidRDefault="00C84CD8" w14:paraId="04F7FA49" w14:textId="77777777"/>
        </w:tc>
      </w:tr>
      <w:tr w:rsidR="00C84CD8" w:rsidTr="00412DF2" w14:paraId="2E80A3C7" w14:textId="77777777">
        <w:tc>
          <w:tcPr>
            <w:tcW w:w="2520" w:type="dxa"/>
            <w:tcBorders>
              <w:top w:val="thinThickThinMediumGap" w:color="auto" w:sz="24" w:space="0"/>
              <w:left w:val="thinThickThinMediumGap" w:color="auto" w:sz="24" w:space="0"/>
              <w:bottom w:val="thinThickThinMediumGap" w:color="auto" w:sz="24" w:space="0"/>
              <w:right w:val="thinThickThinMediumGap" w:color="auto" w:sz="24" w:space="0"/>
            </w:tcBorders>
          </w:tcPr>
          <w:p w:rsidRPr="00C84CD8" w:rsidR="00C84CD8" w:rsidP="00C84CD8" w:rsidRDefault="00C84CD8" w14:paraId="76405DCC" w14:textId="416BCE13">
            <w:pPr>
              <w:rPr>
                <w:sz w:val="44"/>
                <w:szCs w:val="44"/>
              </w:rPr>
            </w:pPr>
            <w:r w:rsidRPr="00C84CD8">
              <w:rPr>
                <w:sz w:val="44"/>
                <w:szCs w:val="44"/>
              </w:rPr>
              <w:t>Partnering</w:t>
            </w:r>
          </w:p>
        </w:tc>
        <w:tc>
          <w:tcPr>
            <w:tcW w:w="8280" w:type="dxa"/>
            <w:tcBorders>
              <w:left w:val="thinThickThinMediumGap" w:color="auto" w:sz="24" w:space="0"/>
            </w:tcBorders>
          </w:tcPr>
          <w:p w:rsidR="00C84CD8" w:rsidP="00C84CD8" w:rsidRDefault="00C84CD8" w14:paraId="1E5B455C" w14:textId="77777777"/>
        </w:tc>
      </w:tr>
      <w:tr w:rsidR="00C84CD8" w:rsidTr="00412DF2" w14:paraId="2D292C4D" w14:textId="77777777">
        <w:tc>
          <w:tcPr>
            <w:tcW w:w="2520" w:type="dxa"/>
            <w:tcBorders>
              <w:top w:val="thinThickThinMediumGap" w:color="auto" w:sz="24" w:space="0"/>
              <w:left w:val="thinThickThinMediumGap" w:color="auto" w:sz="24" w:space="0"/>
              <w:bottom w:val="thinThickThinMediumGap" w:color="auto" w:sz="24" w:space="0"/>
              <w:right w:val="thinThickThinMediumGap" w:color="auto" w:sz="24" w:space="0"/>
            </w:tcBorders>
          </w:tcPr>
          <w:p w:rsidRPr="00C84CD8" w:rsidR="00C84CD8" w:rsidP="00C84CD8" w:rsidRDefault="00C84CD8" w14:paraId="1817DC77" w14:textId="5FCD77CE">
            <w:pPr>
              <w:rPr>
                <w:sz w:val="44"/>
                <w:szCs w:val="44"/>
              </w:rPr>
            </w:pPr>
            <w:r w:rsidRPr="00C84CD8">
              <w:rPr>
                <w:sz w:val="44"/>
                <w:szCs w:val="44"/>
              </w:rPr>
              <w:t>Included</w:t>
            </w:r>
          </w:p>
        </w:tc>
        <w:tc>
          <w:tcPr>
            <w:tcW w:w="8280" w:type="dxa"/>
            <w:tcBorders>
              <w:left w:val="thinThickThinMediumGap" w:color="auto" w:sz="24" w:space="0"/>
            </w:tcBorders>
          </w:tcPr>
          <w:p w:rsidR="00C84CD8" w:rsidP="00C84CD8" w:rsidRDefault="00C84CD8" w14:paraId="66718C88" w14:textId="77777777"/>
        </w:tc>
      </w:tr>
      <w:tr w:rsidR="00C84CD8" w:rsidTr="00412DF2" w14:paraId="0DD4F0D0" w14:textId="77777777">
        <w:tc>
          <w:tcPr>
            <w:tcW w:w="2520" w:type="dxa"/>
            <w:tcBorders>
              <w:top w:val="thinThickThinMediumGap" w:color="auto" w:sz="24" w:space="0"/>
              <w:left w:val="thinThickThinMediumGap" w:color="auto" w:sz="24" w:space="0"/>
              <w:bottom w:val="thinThickThinMediumGap" w:color="auto" w:sz="24" w:space="0"/>
              <w:right w:val="thinThickThinMediumGap" w:color="auto" w:sz="24" w:space="0"/>
            </w:tcBorders>
          </w:tcPr>
          <w:p w:rsidRPr="00C84CD8" w:rsidR="00C84CD8" w:rsidP="00C84CD8" w:rsidRDefault="00C84CD8" w14:paraId="1F955938" w14:textId="687A0FEC">
            <w:pPr>
              <w:rPr>
                <w:sz w:val="44"/>
                <w:szCs w:val="44"/>
              </w:rPr>
            </w:pPr>
            <w:r w:rsidRPr="00C84CD8">
              <w:rPr>
                <w:sz w:val="44"/>
                <w:szCs w:val="44"/>
              </w:rPr>
              <w:t>Hooked</w:t>
            </w:r>
          </w:p>
        </w:tc>
        <w:tc>
          <w:tcPr>
            <w:tcW w:w="8280" w:type="dxa"/>
            <w:tcBorders>
              <w:left w:val="thinThickThinMediumGap" w:color="auto" w:sz="24" w:space="0"/>
            </w:tcBorders>
          </w:tcPr>
          <w:p w:rsidR="00C84CD8" w:rsidP="00C84CD8" w:rsidRDefault="00C84CD8" w14:paraId="3F8C8B9E" w14:textId="77777777"/>
        </w:tc>
      </w:tr>
      <w:tr w:rsidR="00C84CD8" w:rsidTr="00412DF2" w14:paraId="593B68CD" w14:textId="77777777">
        <w:tc>
          <w:tcPr>
            <w:tcW w:w="2520" w:type="dxa"/>
            <w:tcBorders>
              <w:top w:val="thinThickThinMediumGap" w:color="auto" w:sz="24" w:space="0"/>
              <w:left w:val="thinThickThinMediumGap" w:color="auto" w:sz="24" w:space="0"/>
              <w:bottom w:val="thinThickThinMediumGap" w:color="auto" w:sz="24" w:space="0"/>
              <w:right w:val="thinThickThinMediumGap" w:color="auto" w:sz="24" w:space="0"/>
            </w:tcBorders>
          </w:tcPr>
          <w:p w:rsidRPr="00C84CD8" w:rsidR="00C84CD8" w:rsidP="00C84CD8" w:rsidRDefault="00C84CD8" w14:paraId="3D2708D2" w14:textId="2DC1B4C4">
            <w:pPr>
              <w:rPr>
                <w:sz w:val="44"/>
                <w:szCs w:val="44"/>
              </w:rPr>
            </w:pPr>
            <w:r w:rsidRPr="00C84CD8">
              <w:rPr>
                <w:sz w:val="44"/>
                <w:szCs w:val="44"/>
              </w:rPr>
              <w:t>Activated</w:t>
            </w:r>
          </w:p>
        </w:tc>
        <w:tc>
          <w:tcPr>
            <w:tcW w:w="8280" w:type="dxa"/>
            <w:tcBorders>
              <w:left w:val="thinThickThinMediumGap" w:color="auto" w:sz="24" w:space="0"/>
            </w:tcBorders>
          </w:tcPr>
          <w:p w:rsidR="00C84CD8" w:rsidP="00C84CD8" w:rsidRDefault="00C84CD8" w14:paraId="1D8A2F0B" w14:textId="77777777"/>
        </w:tc>
      </w:tr>
      <w:tr w:rsidR="00C84CD8" w:rsidTr="00412DF2" w14:paraId="73348806" w14:textId="77777777">
        <w:tc>
          <w:tcPr>
            <w:tcW w:w="2520" w:type="dxa"/>
            <w:tcBorders>
              <w:top w:val="thinThickThinMediumGap" w:color="auto" w:sz="24" w:space="0"/>
              <w:left w:val="thinThickThinMediumGap" w:color="auto" w:sz="24" w:space="0"/>
              <w:bottom w:val="thinThickThinMediumGap" w:color="auto" w:sz="24" w:space="0"/>
              <w:right w:val="thinThickThinMediumGap" w:color="auto" w:sz="24" w:space="0"/>
            </w:tcBorders>
          </w:tcPr>
          <w:p w:rsidRPr="00C84CD8" w:rsidR="00C84CD8" w:rsidP="00C84CD8" w:rsidRDefault="00C84CD8" w14:paraId="573055F7" w14:textId="7B40897C">
            <w:pPr>
              <w:rPr>
                <w:sz w:val="44"/>
                <w:szCs w:val="44"/>
              </w:rPr>
            </w:pPr>
            <w:r w:rsidRPr="00C84CD8">
              <w:rPr>
                <w:sz w:val="44"/>
                <w:szCs w:val="44"/>
              </w:rPr>
              <w:t>Intrigued</w:t>
            </w:r>
          </w:p>
        </w:tc>
        <w:tc>
          <w:tcPr>
            <w:tcW w:w="8280" w:type="dxa"/>
            <w:tcBorders>
              <w:left w:val="thinThickThinMediumGap" w:color="auto" w:sz="24" w:space="0"/>
            </w:tcBorders>
          </w:tcPr>
          <w:p w:rsidR="00C84CD8" w:rsidP="00C84CD8" w:rsidRDefault="00C84CD8" w14:paraId="745EC83B" w14:textId="77777777"/>
        </w:tc>
      </w:tr>
      <w:tr w:rsidR="00C84CD8" w:rsidTr="00412DF2" w14:paraId="50F07241" w14:textId="77777777">
        <w:tc>
          <w:tcPr>
            <w:tcW w:w="2520" w:type="dxa"/>
            <w:tcBorders>
              <w:top w:val="thinThickThinMediumGap" w:color="auto" w:sz="24" w:space="0"/>
              <w:left w:val="thinThickThinMediumGap" w:color="auto" w:sz="24" w:space="0"/>
              <w:bottom w:val="thinThickThinMediumGap" w:color="auto" w:sz="24" w:space="0"/>
              <w:right w:val="thinThickThinMediumGap" w:color="auto" w:sz="24" w:space="0"/>
            </w:tcBorders>
          </w:tcPr>
          <w:p w:rsidRPr="00C84CD8" w:rsidR="00C84CD8" w:rsidP="00C84CD8" w:rsidRDefault="00C84CD8" w14:paraId="4153537A" w14:textId="75E7426B">
            <w:pPr>
              <w:rPr>
                <w:sz w:val="44"/>
                <w:szCs w:val="44"/>
              </w:rPr>
            </w:pPr>
            <w:r w:rsidRPr="00C84CD8">
              <w:rPr>
                <w:sz w:val="44"/>
                <w:szCs w:val="44"/>
              </w:rPr>
              <w:t>Interested</w:t>
            </w:r>
          </w:p>
        </w:tc>
        <w:tc>
          <w:tcPr>
            <w:tcW w:w="8280" w:type="dxa"/>
            <w:tcBorders>
              <w:left w:val="thinThickThinMediumGap" w:color="auto" w:sz="24" w:space="0"/>
            </w:tcBorders>
          </w:tcPr>
          <w:p w:rsidR="00C84CD8" w:rsidP="00C84CD8" w:rsidRDefault="00C84CD8" w14:paraId="34B64E8E" w14:textId="77777777"/>
        </w:tc>
      </w:tr>
      <w:tr w:rsidR="00C84CD8" w:rsidTr="00412DF2" w14:paraId="5BE21551" w14:textId="77777777">
        <w:tc>
          <w:tcPr>
            <w:tcW w:w="2520" w:type="dxa"/>
            <w:tcBorders>
              <w:top w:val="thinThickThinMediumGap" w:color="auto" w:sz="24" w:space="0"/>
              <w:left w:val="thinThickThinMediumGap" w:color="auto" w:sz="24" w:space="0"/>
              <w:bottom w:val="thinThickThinMediumGap" w:color="auto" w:sz="24" w:space="0"/>
              <w:right w:val="thinThickThinMediumGap" w:color="auto" w:sz="24" w:space="0"/>
            </w:tcBorders>
          </w:tcPr>
          <w:p w:rsidRPr="00C84CD8" w:rsidR="00C84CD8" w:rsidP="00C84CD8" w:rsidRDefault="00C84CD8" w14:paraId="0642B81A" w14:textId="43EC041F">
            <w:pPr>
              <w:rPr>
                <w:sz w:val="44"/>
                <w:szCs w:val="44"/>
              </w:rPr>
            </w:pPr>
            <w:r w:rsidRPr="00C84CD8">
              <w:rPr>
                <w:sz w:val="44"/>
                <w:szCs w:val="44"/>
              </w:rPr>
              <w:t>Aware</w:t>
            </w:r>
          </w:p>
        </w:tc>
        <w:tc>
          <w:tcPr>
            <w:tcW w:w="8280" w:type="dxa"/>
            <w:tcBorders>
              <w:left w:val="thinThickThinMediumGap" w:color="auto" w:sz="24" w:space="0"/>
            </w:tcBorders>
          </w:tcPr>
          <w:p w:rsidR="00C84CD8" w:rsidP="00C84CD8" w:rsidRDefault="00C84CD8" w14:paraId="489D76C4" w14:textId="1878FD56"/>
        </w:tc>
      </w:tr>
      <w:tr w:rsidR="00C84CD8" w:rsidTr="00412DF2" w14:paraId="79CE1226" w14:textId="77777777">
        <w:tc>
          <w:tcPr>
            <w:tcW w:w="2520" w:type="dxa"/>
            <w:tcBorders>
              <w:top w:val="thinThickThinMediumGap" w:color="auto" w:sz="24" w:space="0"/>
              <w:left w:val="thinThickThinMediumGap" w:color="auto" w:sz="24" w:space="0"/>
              <w:bottom w:val="thinThickThinMediumGap" w:color="auto" w:sz="24" w:space="0"/>
              <w:right w:val="thinThickThinMediumGap" w:color="auto" w:sz="24" w:space="0"/>
            </w:tcBorders>
          </w:tcPr>
          <w:p w:rsidRPr="00C84CD8" w:rsidR="00C84CD8" w:rsidP="00C84CD8" w:rsidRDefault="00C84CD8" w14:paraId="0B58B5A5" w14:textId="6D9A881C">
            <w:pPr>
              <w:rPr>
                <w:sz w:val="44"/>
                <w:szCs w:val="44"/>
              </w:rPr>
            </w:pPr>
            <w:r w:rsidRPr="00C84CD8">
              <w:rPr>
                <w:sz w:val="44"/>
                <w:szCs w:val="44"/>
              </w:rPr>
              <w:t>Unaware</w:t>
            </w:r>
          </w:p>
        </w:tc>
        <w:tc>
          <w:tcPr>
            <w:tcW w:w="8280" w:type="dxa"/>
            <w:tcBorders>
              <w:left w:val="thinThickThinMediumGap" w:color="auto" w:sz="24" w:space="0"/>
            </w:tcBorders>
          </w:tcPr>
          <w:p w:rsidR="00C84CD8" w:rsidP="00C84CD8" w:rsidRDefault="00C84CD8" w14:paraId="653D4006" w14:textId="67AF987D"/>
        </w:tc>
      </w:tr>
      <w:tr w:rsidR="00C84CD8" w:rsidTr="00412DF2" w14:paraId="71F92202" w14:textId="77777777">
        <w:tc>
          <w:tcPr>
            <w:tcW w:w="2520" w:type="dxa"/>
            <w:tcBorders>
              <w:top w:val="thinThickThinMediumGap" w:color="auto" w:sz="24" w:space="0"/>
              <w:left w:val="thinThickThinMediumGap" w:color="auto" w:sz="24" w:space="0"/>
              <w:bottom w:val="nil"/>
              <w:right w:val="thinThickThinMediumGap" w:color="auto" w:sz="24" w:space="0"/>
            </w:tcBorders>
          </w:tcPr>
          <w:p w:rsidRPr="00C84CD8" w:rsidR="00C84CD8" w:rsidP="00C84CD8" w:rsidRDefault="00C84CD8" w14:paraId="6F707B4F" w14:textId="77777777">
            <w:pPr>
              <w:rPr>
                <w:sz w:val="44"/>
                <w:szCs w:val="44"/>
              </w:rPr>
            </w:pPr>
          </w:p>
        </w:tc>
        <w:tc>
          <w:tcPr>
            <w:tcW w:w="8280" w:type="dxa"/>
            <w:tcBorders>
              <w:left w:val="thinThickThinMediumGap" w:color="auto" w:sz="24" w:space="0"/>
            </w:tcBorders>
          </w:tcPr>
          <w:p w:rsidR="00C84CD8" w:rsidP="00C84CD8" w:rsidRDefault="00C84CD8" w14:paraId="49378514" w14:textId="77777777"/>
        </w:tc>
      </w:tr>
      <w:bookmarkEnd w:id="0"/>
    </w:tbl>
    <w:p w:rsidR="00C84CD8" w:rsidRDefault="00C84CD8" w14:paraId="2DD75D95" w14:textId="4475FA41"/>
    <w:sectPr w:rsidR="00C84CD8" w:rsidSect="004E69B6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38/JbQSSOlfc+N" int2:id="ntoojMZL">
      <int2:state int2:type="AugLoop_Text_Critique" int2:value="Rejected"/>
    </int2:textHash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CD8"/>
    <w:rsid w:val="000189C8"/>
    <w:rsid w:val="00140937"/>
    <w:rsid w:val="00412DF2"/>
    <w:rsid w:val="004E69B6"/>
    <w:rsid w:val="00646923"/>
    <w:rsid w:val="00893896"/>
    <w:rsid w:val="00C84CD8"/>
    <w:rsid w:val="61073C3F"/>
    <w:rsid w:val="618D3039"/>
    <w:rsid w:val="6939FFAA"/>
    <w:rsid w:val="69C24918"/>
    <w:rsid w:val="71BBBA84"/>
    <w:rsid w:val="7FF2A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606D5"/>
  <w15:chartTrackingRefBased/>
  <w15:docId w15:val="{A885A4A9-173B-405A-9748-27C37A4BB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4CD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64692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469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8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hyperlink" Target="http://www.epolitics.com/2015/03/26/the-urgency-of-digital-organizing-part-two-empowering-activists-with-leadership/" TargetMode="External" Id="rId4" /><Relationship Type="http://schemas.openxmlformats.org/officeDocument/2006/relationships/customXml" Target="../customXml/item3.xml" Id="rId9" /><Relationship Type="http://schemas.microsoft.com/office/2020/10/relationships/intelligence" Target="intelligence2.xml" Id="Re2a37b8bbb4a474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516276BE-E058-4C80-95A3-A96202C347EA}"/>
</file>

<file path=customXml/itemProps2.xml><?xml version="1.0" encoding="utf-8"?>
<ds:datastoreItem xmlns:ds="http://schemas.openxmlformats.org/officeDocument/2006/customXml" ds:itemID="{A5CCE9B6-0CE5-4F32-8288-2DDEB80CF633}"/>
</file>

<file path=customXml/itemProps3.xml><?xml version="1.0" encoding="utf-8"?>
<ds:datastoreItem xmlns:ds="http://schemas.openxmlformats.org/officeDocument/2006/customXml" ds:itemID="{A141168B-C8EE-4BA5-A31D-E105D9CAC2E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Fargen, Matthew [PA]</cp:lastModifiedBy>
  <cp:revision>3</cp:revision>
  <dcterms:created xsi:type="dcterms:W3CDTF">2019-04-05T17:54:00Z</dcterms:created>
  <dcterms:modified xsi:type="dcterms:W3CDTF">2023-11-07T18:31:09Z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