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0CF0" w14:textId="2ABBBCF1" w:rsidR="00466462" w:rsidRDefault="00466462" w:rsidP="00ED28B5">
      <w:pPr>
        <w:textAlignment w:val="baseline"/>
        <w:rPr>
          <w:rFonts w:ascii="Calibri" w:eastAsia="Times New Roman" w:hAnsi="Calibri" w:cs="Calibri"/>
          <w:color w:val="000000"/>
          <w:sz w:val="24"/>
          <w:szCs w:val="24"/>
        </w:rPr>
      </w:pPr>
      <w:proofErr w:type="gramStart"/>
      <w:r>
        <w:rPr>
          <w:rFonts w:ascii="Calibri" w:eastAsia="Times New Roman" w:hAnsi="Calibri" w:cs="Calibri"/>
          <w:color w:val="000000"/>
          <w:sz w:val="24"/>
          <w:szCs w:val="24"/>
        </w:rPr>
        <w:t>Karla  Kelvin</w:t>
      </w:r>
      <w:proofErr w:type="gramEnd"/>
    </w:p>
    <w:p w14:paraId="273E98FE" w14:textId="66BBAFC7"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Ellen Tom</w:t>
      </w:r>
    </w:p>
    <w:p w14:paraId="6C19A22A" w14:textId="1C8E71FE"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Kyle Amanda</w:t>
      </w:r>
    </w:p>
    <w:p w14:paraId="6E0BD6AA" w14:textId="4153B7AF"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Marcie</w:t>
      </w:r>
    </w:p>
    <w:p w14:paraId="692C90B3" w14:textId="6F8CF43A"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Rhonda</w:t>
      </w:r>
    </w:p>
    <w:p w14:paraId="5BA6B4D5" w14:textId="1569A920"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Taraja </w:t>
      </w:r>
      <w:proofErr w:type="spellStart"/>
      <w:r>
        <w:rPr>
          <w:rFonts w:ascii="Calibri" w:eastAsia="Times New Roman" w:hAnsi="Calibri" w:cs="Calibri"/>
          <w:color w:val="000000"/>
          <w:sz w:val="24"/>
          <w:szCs w:val="24"/>
        </w:rPr>
        <w:t>Colbeckt</w:t>
      </w:r>
      <w:proofErr w:type="spellEnd"/>
    </w:p>
    <w:p w14:paraId="727F056D" w14:textId="4FFEC5C8"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Yvie </w:t>
      </w:r>
    </w:p>
    <w:p w14:paraId="39A0EACA" w14:textId="4B5766CC"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Jessica</w:t>
      </w:r>
    </w:p>
    <w:p w14:paraId="3513A1F3" w14:textId="14CD041C"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Halimah Nicole Love</w:t>
      </w:r>
    </w:p>
    <w:p w14:paraId="1E1953A7" w14:textId="33D52E45"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Earl Spriggs</w:t>
      </w:r>
    </w:p>
    <w:p w14:paraId="44A70A80" w14:textId="77777777" w:rsidR="00466462" w:rsidRDefault="00466462" w:rsidP="00ED28B5">
      <w:pPr>
        <w:textAlignment w:val="baseline"/>
        <w:rPr>
          <w:rFonts w:ascii="Calibri" w:eastAsia="Times New Roman" w:hAnsi="Calibri" w:cs="Calibri"/>
          <w:color w:val="000000"/>
          <w:sz w:val="24"/>
          <w:szCs w:val="24"/>
        </w:rPr>
      </w:pPr>
    </w:p>
    <w:p w14:paraId="14DC157C" w14:textId="7483F5BC" w:rsidR="00ED28B5" w:rsidRPr="00ED28B5" w:rsidRDefault="00ED28B5" w:rsidP="00ED28B5">
      <w:pPr>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Hello all – </w:t>
      </w:r>
    </w:p>
    <w:p w14:paraId="5A310000" w14:textId="10AB0C53"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xml:space="preserve">A member of your team recently worked on behalf of NEA to provide </w:t>
      </w:r>
      <w:r w:rsidR="006B0BBD">
        <w:rPr>
          <w:rFonts w:ascii="Calibri" w:eastAsia="Times New Roman" w:hAnsi="Calibri" w:cs="Calibri"/>
          <w:color w:val="000000"/>
          <w:sz w:val="24"/>
          <w:szCs w:val="24"/>
        </w:rPr>
        <w:t xml:space="preserve">a </w:t>
      </w:r>
      <w:r w:rsidR="0064177D">
        <w:rPr>
          <w:rFonts w:ascii="Calibri" w:eastAsia="Times New Roman" w:hAnsi="Calibri" w:cs="Calibri"/>
          <w:color w:val="000000"/>
          <w:sz w:val="24"/>
          <w:szCs w:val="24"/>
        </w:rPr>
        <w:t>three-day</w:t>
      </w:r>
      <w:r w:rsidR="00466462">
        <w:rPr>
          <w:rFonts w:ascii="Calibri" w:eastAsia="Times New Roman" w:hAnsi="Calibri" w:cs="Calibri"/>
          <w:color w:val="000000"/>
          <w:sz w:val="24"/>
          <w:szCs w:val="24"/>
        </w:rPr>
        <w:t xml:space="preserve"> conference track, L</w:t>
      </w:r>
      <w:r w:rsidR="00466462">
        <w:rPr>
          <w:rFonts w:ascii="Calibri" w:eastAsia="Times New Roman" w:hAnsi="Calibri" w:cs="Calibri"/>
          <w:color w:val="000000"/>
          <w:sz w:val="24"/>
          <w:szCs w:val="24"/>
        </w:rPr>
        <w:t xml:space="preserve">eaders and </w:t>
      </w:r>
      <w:r w:rsidR="00466462">
        <w:rPr>
          <w:rFonts w:ascii="Calibri" w:eastAsia="Times New Roman" w:hAnsi="Calibri" w:cs="Calibri"/>
          <w:color w:val="000000"/>
          <w:sz w:val="24"/>
          <w:szCs w:val="24"/>
        </w:rPr>
        <w:t>S</w:t>
      </w:r>
      <w:r w:rsidR="00466462">
        <w:rPr>
          <w:rFonts w:ascii="Calibri" w:eastAsia="Times New Roman" w:hAnsi="Calibri" w:cs="Calibri"/>
          <w:color w:val="000000"/>
          <w:sz w:val="24"/>
          <w:szCs w:val="24"/>
        </w:rPr>
        <w:t>tructures for Winning Campaigns</w:t>
      </w:r>
      <w:r w:rsidR="00466462">
        <w:rPr>
          <w:rFonts w:ascii="Calibri" w:eastAsia="Times New Roman" w:hAnsi="Calibri" w:cs="Calibri"/>
          <w:color w:val="000000"/>
          <w:sz w:val="24"/>
          <w:szCs w:val="24"/>
        </w:rPr>
        <w:t>,</w:t>
      </w:r>
      <w:r w:rsidR="00466462">
        <w:rPr>
          <w:rFonts w:ascii="Calibri" w:eastAsia="Times New Roman" w:hAnsi="Calibri" w:cs="Calibri"/>
          <w:color w:val="000000"/>
          <w:sz w:val="24"/>
          <w:szCs w:val="24"/>
        </w:rPr>
        <w:t xml:space="preserve"> </w:t>
      </w:r>
      <w:r w:rsidR="00466462">
        <w:rPr>
          <w:rFonts w:ascii="Calibri" w:eastAsia="Times New Roman" w:hAnsi="Calibri" w:cs="Calibri"/>
          <w:color w:val="000000"/>
          <w:sz w:val="24"/>
          <w:szCs w:val="24"/>
        </w:rPr>
        <w:t>at the NEA Retired Conference</w:t>
      </w:r>
      <w:r w:rsidR="0064177D">
        <w:rPr>
          <w:rFonts w:ascii="Calibri" w:eastAsia="Times New Roman" w:hAnsi="Calibri" w:cs="Calibri"/>
          <w:color w:val="000000"/>
          <w:sz w:val="24"/>
          <w:szCs w:val="24"/>
        </w:rPr>
        <w:t xml:space="preserve"> held in Pheonix, AZ</w:t>
      </w:r>
      <w:r w:rsidR="00466462">
        <w:rPr>
          <w:rFonts w:ascii="Calibri" w:eastAsia="Times New Roman" w:hAnsi="Calibri" w:cs="Calibri"/>
          <w:color w:val="000000"/>
          <w:sz w:val="24"/>
          <w:szCs w:val="24"/>
        </w:rPr>
        <w:t xml:space="preserve">. </w:t>
      </w:r>
      <w:r w:rsidRPr="00ED28B5">
        <w:rPr>
          <w:rFonts w:ascii="Calibri" w:eastAsia="Times New Roman" w:hAnsi="Calibri" w:cs="Calibri"/>
          <w:color w:val="000000"/>
          <w:sz w:val="24"/>
          <w:szCs w:val="24"/>
        </w:rPr>
        <w:t>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ED28B5">
        <w:rPr>
          <w:rFonts w:ascii="Calibri" w:eastAsia="Times New Roman" w:hAnsi="Calibri" w:cs="Calibri"/>
          <w:b/>
          <w:bCs/>
          <w:color w:val="000000"/>
          <w:sz w:val="24"/>
          <w:szCs w:val="24"/>
        </w:rPr>
        <w:t xml:space="preserve">Karla Medina (NEA), </w:t>
      </w:r>
      <w:r w:rsidR="00466462">
        <w:rPr>
          <w:rFonts w:ascii="Calibri" w:eastAsia="Times New Roman" w:hAnsi="Calibri" w:cs="Calibri"/>
          <w:b/>
          <w:bCs/>
          <w:color w:val="000000"/>
          <w:sz w:val="24"/>
          <w:szCs w:val="24"/>
        </w:rPr>
        <w:t>Yvie Johnson</w:t>
      </w:r>
      <w:r w:rsidR="00195F79">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 xml:space="preserve">Team </w:t>
      </w:r>
      <w:r w:rsidR="00195F79">
        <w:rPr>
          <w:rFonts w:ascii="Calibri" w:eastAsia="Times New Roman" w:hAnsi="Calibri" w:cs="Calibri"/>
          <w:b/>
          <w:bCs/>
          <w:color w:val="000000"/>
          <w:sz w:val="24"/>
          <w:szCs w:val="24"/>
        </w:rPr>
        <w:t>Lead (</w:t>
      </w:r>
      <w:r w:rsidR="00466462">
        <w:rPr>
          <w:rFonts w:ascii="Calibri" w:eastAsia="Times New Roman" w:hAnsi="Calibri" w:cs="Calibri"/>
          <w:b/>
          <w:bCs/>
          <w:color w:val="000000"/>
          <w:sz w:val="24"/>
          <w:szCs w:val="24"/>
        </w:rPr>
        <w:t>OR</w:t>
      </w:r>
      <w:r w:rsidRPr="00ED28B5">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Jessica Minguez</w:t>
      </w:r>
      <w:r w:rsidR="00195F79">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OH</w:t>
      </w:r>
      <w:r w:rsidRPr="00ED28B5">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Taraja Shepard Allen</w:t>
      </w:r>
      <w:r w:rsidR="00195F79">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OH</w:t>
      </w:r>
      <w:r w:rsidRPr="00ED28B5">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Earl Spriggs</w:t>
      </w:r>
      <w:r w:rsidR="00195F79">
        <w:rPr>
          <w:rFonts w:ascii="Calibri" w:eastAsia="Times New Roman" w:hAnsi="Calibri" w:cs="Calibri"/>
          <w:b/>
          <w:bCs/>
          <w:color w:val="000000"/>
          <w:sz w:val="24"/>
          <w:szCs w:val="24"/>
        </w:rPr>
        <w:t xml:space="preserve"> (N</w:t>
      </w:r>
      <w:r w:rsidR="00466462">
        <w:rPr>
          <w:rFonts w:ascii="Calibri" w:eastAsia="Times New Roman" w:hAnsi="Calibri" w:cs="Calibri"/>
          <w:b/>
          <w:bCs/>
          <w:color w:val="000000"/>
          <w:sz w:val="24"/>
          <w:szCs w:val="24"/>
        </w:rPr>
        <w:t>V</w:t>
      </w:r>
      <w:r w:rsidRPr="00ED28B5">
        <w:rPr>
          <w:rFonts w:ascii="Calibri" w:eastAsia="Times New Roman" w:hAnsi="Calibri" w:cs="Calibri"/>
          <w:b/>
          <w:bCs/>
          <w:color w:val="000000"/>
          <w:sz w:val="24"/>
          <w:szCs w:val="24"/>
        </w:rPr>
        <w:t xml:space="preserve">), </w:t>
      </w:r>
      <w:proofErr w:type="spellStart"/>
      <w:r w:rsidR="00466462">
        <w:rPr>
          <w:rFonts w:ascii="Calibri" w:eastAsia="Times New Roman" w:hAnsi="Calibri" w:cs="Calibri"/>
          <w:b/>
          <w:bCs/>
          <w:color w:val="000000"/>
          <w:sz w:val="24"/>
          <w:szCs w:val="24"/>
        </w:rPr>
        <w:t>Halimak</w:t>
      </w:r>
      <w:proofErr w:type="spellEnd"/>
      <w:r w:rsidR="00466462">
        <w:rPr>
          <w:rFonts w:ascii="Calibri" w:eastAsia="Times New Roman" w:hAnsi="Calibri" w:cs="Calibri"/>
          <w:b/>
          <w:bCs/>
          <w:color w:val="000000"/>
          <w:sz w:val="24"/>
          <w:szCs w:val="24"/>
        </w:rPr>
        <w:t xml:space="preserve"> Mekki </w:t>
      </w:r>
      <w:r w:rsidR="00195F79">
        <w:rPr>
          <w:rFonts w:ascii="Calibri" w:eastAsia="Times New Roman" w:hAnsi="Calibri" w:cs="Calibri"/>
          <w:b/>
          <w:bCs/>
          <w:color w:val="000000"/>
          <w:sz w:val="24"/>
          <w:szCs w:val="24"/>
        </w:rPr>
        <w:t>(</w:t>
      </w:r>
      <w:r w:rsidR="00466462">
        <w:rPr>
          <w:rFonts w:ascii="Calibri" w:eastAsia="Times New Roman" w:hAnsi="Calibri" w:cs="Calibri"/>
          <w:b/>
          <w:bCs/>
          <w:color w:val="000000"/>
          <w:sz w:val="24"/>
          <w:szCs w:val="24"/>
        </w:rPr>
        <w:t>CA</w:t>
      </w:r>
      <w:r w:rsidRPr="00ED28B5">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and</w:t>
      </w:r>
      <w:r w:rsidR="00195F79">
        <w:rPr>
          <w:rFonts w:ascii="Calibri" w:eastAsia="Times New Roman" w:hAnsi="Calibri" w:cs="Calibri"/>
          <w:b/>
          <w:bCs/>
          <w:color w:val="000000"/>
          <w:sz w:val="24"/>
          <w:szCs w:val="24"/>
        </w:rPr>
        <w:t xml:space="preserve"> Kricket </w:t>
      </w:r>
      <w:proofErr w:type="spellStart"/>
      <w:r w:rsidR="00195F79">
        <w:rPr>
          <w:rFonts w:ascii="Calibri" w:eastAsia="Times New Roman" w:hAnsi="Calibri" w:cs="Calibri"/>
          <w:b/>
          <w:bCs/>
          <w:color w:val="000000"/>
          <w:sz w:val="24"/>
          <w:szCs w:val="24"/>
        </w:rPr>
        <w:t>Ickwontoro</w:t>
      </w:r>
      <w:proofErr w:type="spellEnd"/>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Online Course Support (NEA</w:t>
      </w:r>
      <w:r w:rsidRPr="00ED28B5">
        <w:rPr>
          <w:rFonts w:ascii="Calibri" w:eastAsia="Times New Roman" w:hAnsi="Calibri" w:cs="Calibri"/>
          <w:b/>
          <w:bCs/>
          <w:color w:val="000000"/>
          <w:sz w:val="24"/>
          <w:szCs w:val="24"/>
        </w:rPr>
        <w:t>)</w:t>
      </w:r>
      <w:r w:rsidR="00466462">
        <w:rPr>
          <w:rFonts w:ascii="Calibri" w:eastAsia="Times New Roman" w:hAnsi="Calibri" w:cs="Calibri"/>
          <w:b/>
          <w:bCs/>
          <w:color w:val="000000"/>
          <w:sz w:val="24"/>
          <w:szCs w:val="24"/>
        </w:rPr>
        <w:t>.</w:t>
      </w:r>
      <w:r w:rsidRPr="00ED28B5">
        <w:rPr>
          <w:rFonts w:ascii="Calibri" w:eastAsia="Times New Roman" w:hAnsi="Calibri" w:cs="Calibri"/>
          <w:color w:val="000000"/>
          <w:sz w:val="24"/>
          <w:szCs w:val="24"/>
        </w:rPr>
        <w:t> </w:t>
      </w:r>
    </w:p>
    <w:p w14:paraId="24D9E48E"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729996F4" w14:textId="4DCD243E" w:rsidR="00F74452" w:rsidRPr="00F74452" w:rsidRDefault="00466462" w:rsidP="00F74452">
      <w:pPr>
        <w:spacing w:line="240" w:lineRule="auto"/>
        <w:textAlignment w:val="baseline"/>
        <w:rPr>
          <w:rFonts w:ascii="Calibri" w:hAnsi="Calibri" w:cs="Calibri"/>
          <w:color w:val="000000"/>
          <w:shd w:val="clear" w:color="auto" w:fill="FFFFFF"/>
        </w:rPr>
      </w:pPr>
      <w:r>
        <w:rPr>
          <w:rFonts w:ascii="Calibri" w:hAnsi="Calibri" w:cs="Calibri"/>
          <w:color w:val="000000"/>
          <w:shd w:val="clear" w:color="auto" w:fill="FFFFFF"/>
        </w:rPr>
        <w:t>25</w:t>
      </w:r>
      <w:r w:rsidR="00ED28B5">
        <w:rPr>
          <w:rFonts w:ascii="Calibri" w:hAnsi="Calibri" w:cs="Calibri"/>
          <w:color w:val="000000"/>
          <w:shd w:val="clear" w:color="auto" w:fill="FFFFFF"/>
        </w:rPr>
        <w:t xml:space="preserve"> Participa</w:t>
      </w:r>
      <w:r w:rsidR="00195F79">
        <w:rPr>
          <w:rFonts w:ascii="Calibri" w:hAnsi="Calibri" w:cs="Calibri"/>
          <w:color w:val="000000"/>
          <w:shd w:val="clear" w:color="auto" w:fill="FFFFFF"/>
        </w:rPr>
        <w:t xml:space="preserve">nts from </w:t>
      </w:r>
      <w:r>
        <w:rPr>
          <w:rFonts w:ascii="Calibri" w:hAnsi="Calibri" w:cs="Calibri"/>
          <w:color w:val="000000"/>
          <w:shd w:val="clear" w:color="auto" w:fill="FFFFFF"/>
        </w:rPr>
        <w:t>5</w:t>
      </w:r>
      <w:r w:rsidR="00ED28B5">
        <w:rPr>
          <w:rFonts w:ascii="Calibri" w:hAnsi="Calibri" w:cs="Calibri"/>
          <w:color w:val="000000"/>
          <w:shd w:val="clear" w:color="auto" w:fill="FFFFFF"/>
        </w:rPr>
        <w:t xml:space="preserve"> state</w:t>
      </w:r>
      <w:r>
        <w:rPr>
          <w:rFonts w:ascii="Calibri" w:hAnsi="Calibri" w:cs="Calibri"/>
          <w:color w:val="000000"/>
          <w:shd w:val="clear" w:color="auto" w:fill="FFFFFF"/>
        </w:rPr>
        <w:t xml:space="preserve"> teams</w:t>
      </w:r>
      <w:r w:rsidR="00ED28B5">
        <w:rPr>
          <w:rFonts w:ascii="Calibri" w:hAnsi="Calibri" w:cs="Calibri"/>
          <w:color w:val="000000"/>
          <w:shd w:val="clear" w:color="auto" w:fill="FFFFFF"/>
        </w:rPr>
        <w:t xml:space="preserve"> </w:t>
      </w:r>
      <w:r w:rsidR="0064177D">
        <w:rPr>
          <w:rFonts w:ascii="Calibri" w:hAnsi="Calibri" w:cs="Calibri"/>
          <w:color w:val="000000"/>
          <w:shd w:val="clear" w:color="auto" w:fill="FFFFFF"/>
        </w:rPr>
        <w:t>participated in this NEA C4O Campaign Lab event. T</w:t>
      </w:r>
      <w:r w:rsidR="00ED28B5">
        <w:rPr>
          <w:rFonts w:ascii="Calibri" w:hAnsi="Calibri" w:cs="Calibri"/>
          <w:color w:val="000000"/>
          <w:shd w:val="clear" w:color="auto" w:fill="FFFFFF"/>
        </w:rPr>
        <w:t xml:space="preserve">he in-person experience provided before, during, and post-training support through </w:t>
      </w:r>
      <w:r w:rsidR="0064177D">
        <w:rPr>
          <w:rFonts w:ascii="Calibri" w:hAnsi="Calibri" w:cs="Calibri"/>
          <w:color w:val="000000"/>
          <w:shd w:val="clear" w:color="auto" w:fill="FFFFFF"/>
        </w:rPr>
        <w:t xml:space="preserve">the </w:t>
      </w:r>
      <w:hyperlink r:id="rId8" w:history="1">
        <w:r w:rsidR="0064177D" w:rsidRPr="00F74452">
          <w:rPr>
            <w:rStyle w:val="Hyperlink"/>
            <w:rFonts w:ascii="Calibri" w:hAnsi="Calibri" w:cs="Calibri"/>
            <w:shd w:val="clear" w:color="auto" w:fill="FFFFFF"/>
          </w:rPr>
          <w:t>NEA Learning Management System</w:t>
        </w:r>
      </w:hyperlink>
      <w:r w:rsidR="0064177D">
        <w:rPr>
          <w:rFonts w:ascii="Calibri" w:hAnsi="Calibri" w:cs="Calibri"/>
          <w:color w:val="000000"/>
          <w:shd w:val="clear" w:color="auto" w:fill="FFFFFF"/>
        </w:rPr>
        <w:t xml:space="preserve"> using a course called</w:t>
      </w:r>
      <w:r w:rsidR="00F74452">
        <w:rPr>
          <w:rFonts w:ascii="Calibri" w:hAnsi="Calibri" w:cs="Calibri"/>
          <w:color w:val="000000"/>
          <w:shd w:val="clear" w:color="auto" w:fill="FFFFFF"/>
        </w:rPr>
        <w:t xml:space="preserve"> </w:t>
      </w:r>
      <w:hyperlink r:id="rId9" w:history="1">
        <w:r w:rsidR="00F74452" w:rsidRPr="00F74452">
          <w:rPr>
            <w:rStyle w:val="Hyperlink"/>
            <w:rFonts w:ascii="Calibri" w:hAnsi="Calibri" w:cs="Calibri"/>
            <w:shd w:val="clear" w:color="auto" w:fill="FFFFFF"/>
          </w:rPr>
          <w:t>Campaign Lab: Introduction to Leading a Campaign Cycle</w:t>
        </w:r>
      </w:hyperlink>
      <w:r w:rsidR="00F74452">
        <w:rPr>
          <w:rFonts w:ascii="Calibri" w:hAnsi="Calibri" w:cs="Calibri"/>
          <w:color w:val="000000"/>
          <w:shd w:val="clear" w:color="auto" w:fill="FFFFFF"/>
        </w:rPr>
        <w:t>.</w:t>
      </w:r>
      <w:r w:rsidR="00ED28B5">
        <w:rPr>
          <w:rFonts w:ascii="Calibri" w:hAnsi="Calibri" w:cs="Calibri"/>
          <w:color w:val="000000"/>
          <w:shd w:val="clear" w:color="auto" w:fill="FFFFFF"/>
        </w:rPr>
        <w:t xml:space="preserve"> </w:t>
      </w:r>
      <w:r w:rsidR="00F74452">
        <w:rPr>
          <w:rFonts w:eastAsiaTheme="minorEastAsia"/>
          <w:color w:val="000000" w:themeColor="text1"/>
          <w:sz w:val="24"/>
          <w:szCs w:val="24"/>
        </w:rPr>
        <w:t>T</w:t>
      </w:r>
      <w:r w:rsidR="00F74452" w:rsidRPr="00140557">
        <w:rPr>
          <w:rFonts w:eastAsiaTheme="minorEastAsia"/>
          <w:color w:val="000000" w:themeColor="text1"/>
          <w:sz w:val="24"/>
          <w:szCs w:val="24"/>
        </w:rPr>
        <w:t xml:space="preserve">he content </w:t>
      </w:r>
      <w:proofErr w:type="gramStart"/>
      <w:r w:rsidR="00F74452" w:rsidRPr="00140557">
        <w:rPr>
          <w:rFonts w:eastAsiaTheme="minorEastAsia"/>
          <w:color w:val="000000" w:themeColor="text1"/>
          <w:sz w:val="24"/>
          <w:szCs w:val="24"/>
        </w:rPr>
        <w:t>across</w:t>
      </w:r>
      <w:proofErr w:type="gramEnd"/>
      <w:r w:rsidR="00F74452" w:rsidRPr="00140557">
        <w:rPr>
          <w:rFonts w:eastAsiaTheme="minorEastAsia"/>
          <w:color w:val="000000" w:themeColor="text1"/>
          <w:sz w:val="24"/>
          <w:szCs w:val="24"/>
        </w:rPr>
        <w:t xml:space="preserve"> this experience is designed to provide key outcomes in the following areas:  </w:t>
      </w:r>
    </w:p>
    <w:p w14:paraId="1BAA76D8" w14:textId="624C0238" w:rsidR="00F74452" w:rsidRPr="00A436DE" w:rsidRDefault="00F74452" w:rsidP="00F74452">
      <w:pPr>
        <w:numPr>
          <w:ilvl w:val="0"/>
          <w:numId w:val="6"/>
        </w:numPr>
        <w:rPr>
          <w:rFonts w:eastAsiaTheme="minorEastAsia"/>
          <w:color w:val="000000" w:themeColor="text1"/>
          <w:sz w:val="24"/>
          <w:szCs w:val="24"/>
        </w:rPr>
      </w:pPr>
      <w:r>
        <w:rPr>
          <w:rFonts w:eastAsiaTheme="minorEastAsia"/>
          <w:color w:val="000000" w:themeColor="text1"/>
          <w:sz w:val="24"/>
          <w:szCs w:val="24"/>
        </w:rPr>
        <w:t>Understand the basic steps of a campaign planning cycle</w:t>
      </w:r>
    </w:p>
    <w:p w14:paraId="759E0572" w14:textId="44534873" w:rsidR="00F74452" w:rsidRPr="00A436DE" w:rsidRDefault="00F74452" w:rsidP="00F74452">
      <w:pPr>
        <w:numPr>
          <w:ilvl w:val="0"/>
          <w:numId w:val="6"/>
        </w:numPr>
        <w:rPr>
          <w:rFonts w:eastAsiaTheme="minorEastAsia"/>
          <w:color w:val="000000" w:themeColor="text1"/>
          <w:sz w:val="24"/>
          <w:szCs w:val="24"/>
        </w:rPr>
      </w:pPr>
      <w:r w:rsidRPr="00A436DE">
        <w:rPr>
          <w:rFonts w:eastAsiaTheme="minorEastAsia"/>
          <w:color w:val="000000" w:themeColor="text1"/>
          <w:sz w:val="24"/>
          <w:szCs w:val="24"/>
        </w:rPr>
        <w:t xml:space="preserve">Understanding the methods for developing and supporting </w:t>
      </w:r>
      <w:r>
        <w:rPr>
          <w:rFonts w:eastAsiaTheme="minorEastAsia"/>
          <w:color w:val="000000" w:themeColor="text1"/>
          <w:sz w:val="24"/>
          <w:szCs w:val="24"/>
        </w:rPr>
        <w:t>allies and constituencies</w:t>
      </w:r>
      <w:r w:rsidRPr="00A436DE">
        <w:rPr>
          <w:rFonts w:eastAsiaTheme="minorEastAsia"/>
          <w:color w:val="000000" w:themeColor="text1"/>
          <w:sz w:val="24"/>
          <w:szCs w:val="24"/>
        </w:rPr>
        <w:t> </w:t>
      </w:r>
    </w:p>
    <w:p w14:paraId="4A43E378" w14:textId="6B75DBD6" w:rsidR="00F74452" w:rsidRPr="00A436DE" w:rsidRDefault="00F74452" w:rsidP="00F74452">
      <w:pPr>
        <w:numPr>
          <w:ilvl w:val="0"/>
          <w:numId w:val="6"/>
        </w:numPr>
        <w:rPr>
          <w:rFonts w:eastAsiaTheme="minorEastAsia"/>
          <w:color w:val="000000" w:themeColor="text1"/>
          <w:sz w:val="24"/>
          <w:szCs w:val="24"/>
        </w:rPr>
      </w:pPr>
      <w:r w:rsidRPr="00A436DE">
        <w:rPr>
          <w:rFonts w:eastAsiaTheme="minorEastAsia"/>
          <w:color w:val="000000" w:themeColor="text1"/>
          <w:sz w:val="24"/>
          <w:szCs w:val="24"/>
        </w:rPr>
        <w:t xml:space="preserve">Design strategic alignment of </w:t>
      </w:r>
      <w:r>
        <w:rPr>
          <w:rFonts w:eastAsiaTheme="minorEastAsia"/>
          <w:color w:val="000000" w:themeColor="text1"/>
          <w:sz w:val="24"/>
          <w:szCs w:val="24"/>
        </w:rPr>
        <w:t>resources</w:t>
      </w:r>
      <w:r w:rsidRPr="00A436DE">
        <w:rPr>
          <w:rFonts w:eastAsiaTheme="minorEastAsia"/>
          <w:color w:val="000000" w:themeColor="text1"/>
          <w:sz w:val="24"/>
          <w:szCs w:val="24"/>
        </w:rPr>
        <w:t xml:space="preserve"> and tactics using scenarios and case studies.  </w:t>
      </w:r>
    </w:p>
    <w:p w14:paraId="297A5294" w14:textId="14733F51" w:rsidR="00F74452" w:rsidRPr="00A436DE" w:rsidRDefault="00F74452" w:rsidP="00F74452">
      <w:pPr>
        <w:numPr>
          <w:ilvl w:val="0"/>
          <w:numId w:val="6"/>
        </w:numPr>
        <w:rPr>
          <w:rFonts w:eastAsiaTheme="minorEastAsia"/>
          <w:color w:val="000000" w:themeColor="text1"/>
          <w:sz w:val="24"/>
          <w:szCs w:val="24"/>
        </w:rPr>
      </w:pPr>
      <w:r>
        <w:rPr>
          <w:rFonts w:eastAsiaTheme="minorEastAsia"/>
          <w:color w:val="000000" w:themeColor="text1"/>
          <w:sz w:val="24"/>
          <w:szCs w:val="24"/>
        </w:rPr>
        <w:t>Apply a “Common Good” lens to the issues and strategy for campaigns</w:t>
      </w:r>
      <w:r w:rsidRPr="00A436DE">
        <w:rPr>
          <w:rFonts w:eastAsiaTheme="minorEastAsia"/>
          <w:color w:val="000000" w:themeColor="text1"/>
          <w:sz w:val="24"/>
          <w:szCs w:val="24"/>
        </w:rPr>
        <w:t> </w:t>
      </w:r>
    </w:p>
    <w:p w14:paraId="54BEC564" w14:textId="77777777" w:rsidR="00F74452" w:rsidRPr="00A436DE" w:rsidRDefault="00F74452" w:rsidP="00F74452">
      <w:pPr>
        <w:numPr>
          <w:ilvl w:val="0"/>
          <w:numId w:val="6"/>
        </w:numPr>
        <w:rPr>
          <w:rFonts w:eastAsiaTheme="minorEastAsia"/>
          <w:color w:val="000000" w:themeColor="text1"/>
          <w:sz w:val="24"/>
          <w:szCs w:val="24"/>
        </w:rPr>
      </w:pPr>
      <w:r w:rsidRPr="00A436DE">
        <w:rPr>
          <w:rFonts w:eastAsiaTheme="minorEastAsia"/>
          <w:color w:val="000000" w:themeColor="text1"/>
          <w:sz w:val="24"/>
          <w:szCs w:val="24"/>
        </w:rPr>
        <w:t>Focus on long-term campaign planning around organizing issues. </w:t>
      </w:r>
    </w:p>
    <w:p w14:paraId="75A8BE37"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65964D3F"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b/>
          <w:bCs/>
          <w:color w:val="000000"/>
          <w:sz w:val="24"/>
          <w:szCs w:val="24"/>
        </w:rPr>
        <w:t>Participant comments:</w:t>
      </w:r>
    </w:p>
    <w:p w14:paraId="521E6119" w14:textId="5E6C0FD3" w:rsidR="00ED28B5" w:rsidRPr="003D57BE" w:rsidRDefault="00ED28B5" w:rsidP="006B0BBD">
      <w:pPr>
        <w:spacing w:after="0" w:line="240" w:lineRule="auto"/>
        <w:rPr>
          <w:rFonts w:ascii="Calibri" w:eastAsia="Times New Roman" w:hAnsi="Calibri" w:cs="Calibri"/>
          <w:i/>
          <w:iCs/>
          <w:color w:val="000000"/>
          <w:sz w:val="24"/>
          <w:szCs w:val="24"/>
        </w:rPr>
      </w:pPr>
      <w:r w:rsidRPr="003D57BE">
        <w:rPr>
          <w:rFonts w:ascii="Calibri" w:eastAsia="Times New Roman" w:hAnsi="Calibri" w:cs="Calibri"/>
          <w:i/>
          <w:iCs/>
          <w:color w:val="000000"/>
          <w:sz w:val="24"/>
          <w:szCs w:val="24"/>
        </w:rPr>
        <w:t>“</w:t>
      </w:r>
      <w:r w:rsidR="00F74452" w:rsidRPr="003D57BE">
        <w:rPr>
          <w:rFonts w:ascii="Segoe UI" w:hAnsi="Segoe UI" w:cs="Segoe UI"/>
          <w:i/>
          <w:iCs/>
          <w:color w:val="212121"/>
          <w:sz w:val="21"/>
          <w:szCs w:val="21"/>
          <w:shd w:val="clear" w:color="auto" w:fill="F8F8F8"/>
        </w:rPr>
        <w:t xml:space="preserve">We are still working on the changes that are critical to our schools and communities.  This training allowed us the time to develop a plan that we can take home and begin to </w:t>
      </w:r>
      <w:proofErr w:type="gramStart"/>
      <w:r w:rsidR="00F74452" w:rsidRPr="003D57BE">
        <w:rPr>
          <w:rFonts w:ascii="Segoe UI" w:hAnsi="Segoe UI" w:cs="Segoe UI"/>
          <w:i/>
          <w:iCs/>
          <w:color w:val="212121"/>
          <w:sz w:val="21"/>
          <w:szCs w:val="21"/>
          <w:shd w:val="clear" w:color="auto" w:fill="F8F8F8"/>
        </w:rPr>
        <w:t>implement.</w:t>
      </w:r>
      <w:r w:rsidRPr="003D57BE">
        <w:rPr>
          <w:rFonts w:ascii="Calibri" w:eastAsia="Times New Roman" w:hAnsi="Calibri" w:cs="Calibri"/>
          <w:i/>
          <w:iCs/>
          <w:color w:val="000000"/>
          <w:sz w:val="24"/>
          <w:szCs w:val="24"/>
        </w:rPr>
        <w:t>.</w:t>
      </w:r>
      <w:proofErr w:type="gramEnd"/>
      <w:r w:rsidRPr="003D57BE">
        <w:rPr>
          <w:rFonts w:ascii="Calibri" w:eastAsia="Times New Roman" w:hAnsi="Calibri" w:cs="Calibri"/>
          <w:i/>
          <w:iCs/>
          <w:color w:val="000000"/>
          <w:sz w:val="24"/>
          <w:szCs w:val="24"/>
        </w:rPr>
        <w:t>”</w:t>
      </w:r>
    </w:p>
    <w:p w14:paraId="5148B27B" w14:textId="77777777" w:rsidR="006B0BBD" w:rsidRPr="003D57BE" w:rsidRDefault="006B0BBD" w:rsidP="006B0BBD">
      <w:pPr>
        <w:spacing w:after="0" w:line="240" w:lineRule="auto"/>
        <w:rPr>
          <w:rFonts w:ascii="Calibri" w:eastAsia="Times New Roman" w:hAnsi="Calibri" w:cs="Calibri"/>
          <w:i/>
          <w:iCs/>
          <w:color w:val="000000"/>
          <w:sz w:val="24"/>
          <w:szCs w:val="24"/>
        </w:rPr>
      </w:pPr>
    </w:p>
    <w:p w14:paraId="727FD58B" w14:textId="7B735816" w:rsidR="00ED28B5" w:rsidRPr="003D57BE" w:rsidRDefault="00ED28B5" w:rsidP="00ED28B5">
      <w:pPr>
        <w:spacing w:after="0" w:line="240" w:lineRule="auto"/>
        <w:textAlignment w:val="baseline"/>
        <w:rPr>
          <w:rFonts w:ascii="Calibri" w:eastAsia="Times New Roman" w:hAnsi="Calibri" w:cs="Calibri"/>
          <w:i/>
          <w:iCs/>
          <w:color w:val="000000"/>
          <w:sz w:val="24"/>
          <w:szCs w:val="24"/>
        </w:rPr>
      </w:pPr>
      <w:r w:rsidRPr="003D57BE">
        <w:rPr>
          <w:rFonts w:ascii="Calibri" w:eastAsia="Times New Roman" w:hAnsi="Calibri" w:cs="Calibri"/>
          <w:i/>
          <w:iCs/>
          <w:color w:val="000000"/>
          <w:sz w:val="24"/>
          <w:szCs w:val="24"/>
        </w:rPr>
        <w:t> “</w:t>
      </w:r>
      <w:r w:rsidR="006B0BBD" w:rsidRPr="003D57BE">
        <w:rPr>
          <w:rFonts w:ascii="Segoe UI" w:hAnsi="Segoe UI" w:cs="Segoe UI"/>
          <w:i/>
          <w:iCs/>
          <w:color w:val="212121"/>
          <w:sz w:val="21"/>
          <w:szCs w:val="21"/>
          <w:shd w:val="clear" w:color="auto" w:fill="FFFFFF"/>
        </w:rPr>
        <w:t xml:space="preserve">The trainers are great. This is the first time I have been led by people from NEA who are as diverse in background and knowledgeable about this </w:t>
      </w:r>
      <w:proofErr w:type="gramStart"/>
      <w:r w:rsidR="006B0BBD" w:rsidRPr="003D57BE">
        <w:rPr>
          <w:rFonts w:ascii="Segoe UI" w:hAnsi="Segoe UI" w:cs="Segoe UI"/>
          <w:i/>
          <w:iCs/>
          <w:color w:val="212121"/>
          <w:sz w:val="21"/>
          <w:szCs w:val="21"/>
          <w:shd w:val="clear" w:color="auto" w:fill="FFFFFF"/>
        </w:rPr>
        <w:t>particular content</w:t>
      </w:r>
      <w:proofErr w:type="gramEnd"/>
      <w:r w:rsidR="006B0BBD" w:rsidRPr="003D57BE">
        <w:rPr>
          <w:rFonts w:ascii="Segoe UI" w:hAnsi="Segoe UI" w:cs="Segoe UI"/>
          <w:i/>
          <w:iCs/>
          <w:color w:val="212121"/>
          <w:sz w:val="21"/>
          <w:szCs w:val="21"/>
          <w:shd w:val="clear" w:color="auto" w:fill="FFFFFF"/>
        </w:rPr>
        <w:t>.</w:t>
      </w:r>
      <w:r w:rsidRPr="003D57BE">
        <w:rPr>
          <w:rFonts w:ascii="Calibri" w:eastAsia="Times New Roman" w:hAnsi="Calibri" w:cs="Calibri"/>
          <w:i/>
          <w:iCs/>
          <w:color w:val="000000"/>
          <w:sz w:val="24"/>
          <w:szCs w:val="24"/>
        </w:rPr>
        <w:t>”</w:t>
      </w:r>
    </w:p>
    <w:p w14:paraId="2D30310E" w14:textId="62CC9FFD" w:rsidR="00ED28B5" w:rsidRPr="003D57BE" w:rsidRDefault="00ED28B5" w:rsidP="006B0BBD">
      <w:pPr>
        <w:rPr>
          <w:rFonts w:ascii="Segoe UI" w:eastAsia="Times New Roman" w:hAnsi="Segoe UI" w:cs="Segoe UI"/>
          <w:i/>
          <w:iCs/>
          <w:color w:val="212121"/>
          <w:sz w:val="21"/>
          <w:szCs w:val="21"/>
        </w:rPr>
      </w:pPr>
      <w:r w:rsidRPr="003D57BE">
        <w:rPr>
          <w:rFonts w:ascii="Calibri" w:eastAsia="Times New Roman" w:hAnsi="Calibri" w:cs="Calibri"/>
          <w:i/>
          <w:iCs/>
          <w:color w:val="000000"/>
          <w:sz w:val="24"/>
          <w:szCs w:val="24"/>
        </w:rPr>
        <w:t> “</w:t>
      </w:r>
      <w:r w:rsidR="00F74452" w:rsidRPr="003D57BE">
        <w:rPr>
          <w:rFonts w:ascii="Segoe UI" w:eastAsia="Times New Roman" w:hAnsi="Segoe UI" w:cs="Segoe UI"/>
          <w:i/>
          <w:iCs/>
          <w:color w:val="212121"/>
          <w:sz w:val="21"/>
          <w:szCs w:val="21"/>
        </w:rPr>
        <w:t>I would like to see more training tracks like this one and for this one to be better promoted. Our whole leadership and membership could benefit from attending this</w:t>
      </w:r>
      <w:r w:rsidR="006B0BBD" w:rsidRPr="003D57BE">
        <w:rPr>
          <w:rFonts w:ascii="Segoe UI" w:eastAsia="Times New Roman" w:hAnsi="Segoe UI" w:cs="Segoe UI"/>
          <w:i/>
          <w:iCs/>
          <w:color w:val="212121"/>
          <w:sz w:val="21"/>
          <w:szCs w:val="21"/>
        </w:rPr>
        <w:t>.</w:t>
      </w:r>
      <w:r w:rsidRPr="003D57BE">
        <w:rPr>
          <w:rFonts w:ascii="Calibri" w:eastAsia="Times New Roman" w:hAnsi="Calibri" w:cs="Calibri"/>
          <w:i/>
          <w:iCs/>
          <w:color w:val="000000"/>
          <w:sz w:val="24"/>
          <w:szCs w:val="24"/>
        </w:rPr>
        <w:t>”</w:t>
      </w:r>
    </w:p>
    <w:p w14:paraId="0A79485F" w14:textId="5C8C873A" w:rsidR="005A39E0" w:rsidRPr="006B0BBD" w:rsidRDefault="00ED28B5" w:rsidP="006B0BBD">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lastRenderedPageBreak/>
        <w:t> </w:t>
      </w:r>
    </w:p>
    <w:sectPr w:rsidR="005A39E0" w:rsidRPr="006B0BBD"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9660598">
    <w:abstractNumId w:val="5"/>
  </w:num>
  <w:num w:numId="2" w16cid:durableId="1202669395">
    <w:abstractNumId w:val="2"/>
  </w:num>
  <w:num w:numId="3" w16cid:durableId="639842865">
    <w:abstractNumId w:val="4"/>
  </w:num>
  <w:num w:numId="4" w16cid:durableId="856700096">
    <w:abstractNumId w:val="0"/>
  </w:num>
  <w:num w:numId="5" w16cid:durableId="303044124">
    <w:abstractNumId w:val="3"/>
  </w:num>
  <w:num w:numId="6" w16cid:durableId="349111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18"/>
    <w:rsid w:val="000438AB"/>
    <w:rsid w:val="00195F79"/>
    <w:rsid w:val="001F0F90"/>
    <w:rsid w:val="00237147"/>
    <w:rsid w:val="00291818"/>
    <w:rsid w:val="002D4CBF"/>
    <w:rsid w:val="003D57BE"/>
    <w:rsid w:val="004136C4"/>
    <w:rsid w:val="00440F77"/>
    <w:rsid w:val="00466462"/>
    <w:rsid w:val="005A39E0"/>
    <w:rsid w:val="005F3590"/>
    <w:rsid w:val="00601EF9"/>
    <w:rsid w:val="0064177D"/>
    <w:rsid w:val="00666E5B"/>
    <w:rsid w:val="00695813"/>
    <w:rsid w:val="006B0BBD"/>
    <w:rsid w:val="008850CF"/>
    <w:rsid w:val="00897995"/>
    <w:rsid w:val="00900299"/>
    <w:rsid w:val="00CE2A11"/>
    <w:rsid w:val="00D92A53"/>
    <w:rsid w:val="00ED28B5"/>
    <w:rsid w:val="00F17EF2"/>
    <w:rsid w:val="00F74452"/>
    <w:rsid w:val="00F749DD"/>
    <w:rsid w:val="00F956B5"/>
    <w:rsid w:val="00FF442B"/>
    <w:rsid w:val="3ADBBF5F"/>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 w:type="character" w:styleId="UnresolvedMention">
    <w:name w:val="Unresolved Mention"/>
    <w:basedOn w:val="DefaultParagraphFont"/>
    <w:uiPriority w:val="99"/>
    <w:semiHidden/>
    <w:unhideWhenUsed/>
    <w:rsid w:val="00F744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learner-dashboar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apartnera.learnupon.com/content-details/446316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B07585-439B-4005-A495-174FB72A9E96}">
  <ds:schemaRefs>
    <ds:schemaRef ds:uri="http://schemas.microsoft.com/sharepoint/v3/contenttype/forms"/>
  </ds:schemaRefs>
</ds:datastoreItem>
</file>

<file path=customXml/itemProps2.xml><?xml version="1.0" encoding="utf-8"?>
<ds:datastoreItem xmlns:ds="http://schemas.openxmlformats.org/officeDocument/2006/customXml" ds:itemID="{9D6D4506-48A8-476D-AA82-91BA7C174CA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249FA2B9-9AEA-4F63-8AFE-032A0152D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362</Words>
  <Characters>1884</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2026-03-03T21:12:00Z</dcterms:created>
  <dcterms:modified xsi:type="dcterms:W3CDTF">2026-03-03T21:46:00Z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