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98451E" w:rsidRDefault="00EA4001" w14:paraId="7250ADA8" w14:textId="77777777">
      <w:pPr>
        <w:rPr>
          <w:b/>
          <w:sz w:val="40"/>
          <w:szCs w:val="40"/>
        </w:rPr>
      </w:pPr>
      <w:bookmarkStart w:name="_heading=h.gjdgxs" w:colFirst="0" w:colLast="0" w:id="0"/>
      <w:bookmarkEnd w:id="0"/>
      <w:r>
        <w:rPr>
          <w:b/>
          <w:sz w:val="40"/>
          <w:szCs w:val="40"/>
        </w:rPr>
        <w:t>Levels of Expressions of Oppression</w:t>
      </w:r>
    </w:p>
    <w:tbl>
      <w:tblPr>
        <w:tblStyle w:val="a"/>
        <w:tblW w:w="989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Look w:val="0400" w:firstRow="0" w:lastRow="0" w:firstColumn="0" w:lastColumn="0" w:noHBand="0" w:noVBand="1"/>
      </w:tblPr>
      <w:tblGrid>
        <w:gridCol w:w="613"/>
        <w:gridCol w:w="4246"/>
        <w:gridCol w:w="613"/>
        <w:gridCol w:w="4418"/>
      </w:tblGrid>
      <w:tr w:rsidR="0098451E" w14:paraId="1CF1C478" w14:textId="77777777">
        <w:tc>
          <w:tcPr>
            <w:tcW w:w="613" w:type="dxa"/>
            <w:vMerge w:val="restart"/>
            <w:shd w:val="clear" w:color="auto" w:fill="E7E6E6"/>
          </w:tcPr>
          <w:p w:rsidR="00A47308" w:rsidP="00A47308" w:rsidRDefault="00A47308" w14:paraId="672A6659" w14:textId="77777777">
            <w:pPr>
              <w:ind w:left="113" w:right="113"/>
              <w:jc w:val="center"/>
              <w:rPr>
                <w:b/>
                <w:sz w:val="32"/>
                <w:szCs w:val="32"/>
              </w:rPr>
            </w:pPr>
          </w:p>
          <w:p w:rsidR="00A47308" w:rsidP="00A47308" w:rsidRDefault="00A47308" w14:paraId="0A37501D" w14:textId="77777777">
            <w:pPr>
              <w:ind w:left="113" w:right="113"/>
              <w:jc w:val="center"/>
              <w:rPr>
                <w:b/>
                <w:sz w:val="32"/>
                <w:szCs w:val="32"/>
              </w:rPr>
            </w:pPr>
          </w:p>
          <w:p w:rsidRPr="00A47308" w:rsidR="0098451E" w:rsidP="00A47308" w:rsidRDefault="00EA4001" w14:paraId="73698964" w14:textId="77777777">
            <w:pPr>
              <w:ind w:left="113" w:right="113"/>
              <w:jc w:val="center"/>
              <w:rPr>
                <w:b/>
                <w:sz w:val="32"/>
                <w:szCs w:val="32"/>
              </w:rPr>
            </w:pPr>
            <w:r w:rsidRPr="00A47308">
              <w:rPr>
                <w:b/>
                <w:sz w:val="32"/>
                <w:szCs w:val="32"/>
              </w:rPr>
              <w:t>Individual</w:t>
            </w:r>
          </w:p>
        </w:tc>
        <w:tc>
          <w:tcPr>
            <w:tcW w:w="4246" w:type="dxa"/>
          </w:tcPr>
          <w:p w:rsidR="0098451E" w:rsidRDefault="00EA4001" w14:paraId="7FC2B1F9" w14:textId="77777777">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rsidR="0098451E" w:rsidRDefault="0098451E" w14:paraId="5DAB6C7B" w14:textId="77777777">
            <w:pPr>
              <w:rPr>
                <w:b/>
                <w:sz w:val="40"/>
                <w:szCs w:val="40"/>
              </w:rPr>
            </w:pPr>
          </w:p>
        </w:tc>
        <w:tc>
          <w:tcPr>
            <w:tcW w:w="613" w:type="dxa"/>
            <w:vMerge w:val="restart"/>
            <w:shd w:val="clear" w:color="auto" w:fill="E7E6E6"/>
          </w:tcPr>
          <w:p w:rsidR="00A47308" w:rsidRDefault="00A47308" w14:paraId="02EB378F" w14:textId="77777777">
            <w:pPr>
              <w:ind w:left="113" w:right="113"/>
              <w:jc w:val="center"/>
              <w:rPr>
                <w:b/>
                <w:sz w:val="32"/>
                <w:szCs w:val="32"/>
              </w:rPr>
            </w:pPr>
          </w:p>
          <w:p w:rsidR="00A47308" w:rsidRDefault="00A47308" w14:paraId="6A05A809" w14:textId="77777777">
            <w:pPr>
              <w:ind w:left="113" w:right="113"/>
              <w:jc w:val="center"/>
              <w:rPr>
                <w:b/>
                <w:sz w:val="32"/>
                <w:szCs w:val="32"/>
              </w:rPr>
            </w:pPr>
          </w:p>
          <w:p w:rsidR="00A47308" w:rsidRDefault="00A47308" w14:paraId="5A39BBE3" w14:textId="77777777">
            <w:pPr>
              <w:ind w:left="113" w:right="113"/>
              <w:jc w:val="center"/>
              <w:rPr>
                <w:b/>
                <w:sz w:val="32"/>
                <w:szCs w:val="32"/>
              </w:rPr>
            </w:pPr>
          </w:p>
          <w:p w:rsidRPr="00A47308" w:rsidR="0098451E" w:rsidRDefault="00EA4001" w14:paraId="57A46120" w14:textId="77777777">
            <w:pPr>
              <w:ind w:left="113" w:right="113"/>
              <w:jc w:val="center"/>
              <w:rPr>
                <w:b/>
                <w:sz w:val="32"/>
                <w:szCs w:val="32"/>
              </w:rPr>
            </w:pPr>
            <w:r w:rsidRPr="00A47308">
              <w:rPr>
                <w:b/>
                <w:sz w:val="32"/>
                <w:szCs w:val="32"/>
              </w:rPr>
              <w:t>Systemic</w:t>
            </w:r>
          </w:p>
        </w:tc>
        <w:tc>
          <w:tcPr>
            <w:tcW w:w="4418" w:type="dxa"/>
          </w:tcPr>
          <w:p w:rsidR="0098451E" w:rsidRDefault="00EA4001" w14:paraId="790B3E29" w14:textId="77777777">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w:t>
            </w:r>
          </w:p>
          <w:p w:rsidR="0098451E" w:rsidRDefault="0098451E" w14:paraId="41C8F396" w14:textId="77777777">
            <w:pPr>
              <w:rPr>
                <w:b/>
                <w:sz w:val="40"/>
                <w:szCs w:val="40"/>
              </w:rPr>
            </w:pPr>
          </w:p>
        </w:tc>
      </w:tr>
      <w:tr w:rsidR="0098451E" w14:paraId="3A908E30" w14:textId="77777777">
        <w:trPr>
          <w:trHeight w:val="3726"/>
        </w:trPr>
        <w:tc>
          <w:tcPr>
            <w:tcW w:w="613" w:type="dxa"/>
            <w:vMerge/>
            <w:shd w:val="clear" w:color="auto" w:fill="E7E6E6"/>
          </w:tcPr>
          <w:p w:rsidR="0098451E" w:rsidRDefault="0098451E" w14:paraId="72A3D3EC" w14:textId="77777777">
            <w:pPr>
              <w:widowControl w:val="0"/>
              <w:pBdr>
                <w:top w:val="nil"/>
                <w:left w:val="nil"/>
                <w:bottom w:val="nil"/>
                <w:right w:val="nil"/>
                <w:between w:val="nil"/>
              </w:pBdr>
              <w:spacing w:line="276" w:lineRule="auto"/>
              <w:rPr>
                <w:b/>
                <w:sz w:val="40"/>
                <w:szCs w:val="40"/>
              </w:rPr>
            </w:pPr>
          </w:p>
        </w:tc>
        <w:tc>
          <w:tcPr>
            <w:tcW w:w="4246" w:type="dxa"/>
          </w:tcPr>
          <w:p w:rsidR="0098451E" w:rsidRDefault="00EA4001" w14:paraId="0F234818" w14:textId="77777777">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rsidR="0098451E" w:rsidRDefault="0098451E" w14:paraId="0D0B940D" w14:textId="77777777">
            <w:pPr>
              <w:rPr>
                <w:b/>
                <w:sz w:val="40"/>
                <w:szCs w:val="40"/>
              </w:rPr>
            </w:pPr>
          </w:p>
        </w:tc>
        <w:tc>
          <w:tcPr>
            <w:tcW w:w="613" w:type="dxa"/>
            <w:vMerge/>
            <w:shd w:val="clear" w:color="auto" w:fill="E7E6E6"/>
          </w:tcPr>
          <w:p w:rsidR="0098451E" w:rsidRDefault="0098451E" w14:paraId="0E27B00A" w14:textId="77777777">
            <w:pPr>
              <w:widowControl w:val="0"/>
              <w:pBdr>
                <w:top w:val="nil"/>
                <w:left w:val="nil"/>
                <w:bottom w:val="nil"/>
                <w:right w:val="nil"/>
                <w:between w:val="nil"/>
              </w:pBdr>
              <w:spacing w:line="276" w:lineRule="auto"/>
              <w:rPr>
                <w:b/>
                <w:sz w:val="40"/>
                <w:szCs w:val="40"/>
              </w:rPr>
            </w:pPr>
          </w:p>
        </w:tc>
        <w:tc>
          <w:tcPr>
            <w:tcW w:w="4418" w:type="dxa"/>
          </w:tcPr>
          <w:p w:rsidR="0098451E" w:rsidRDefault="00EA4001" w14:paraId="10DEDBDA" w14:textId="77777777">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rsidR="0098451E" w:rsidRDefault="0098451E" w14:paraId="60061E4C" w14:textId="77777777">
            <w:pPr>
              <w:rPr>
                <w:b/>
                <w:sz w:val="40"/>
                <w:szCs w:val="40"/>
              </w:rPr>
            </w:pPr>
          </w:p>
        </w:tc>
      </w:tr>
    </w:tbl>
    <w:p w:rsidR="0098451E" w:rsidRDefault="0098451E" w14:paraId="44EAFD9C" w14:textId="77777777"/>
    <w:p w:rsidR="0098451E" w:rsidRDefault="0098451E" w14:paraId="4B94D5A5" w14:textId="77777777">
      <w:pPr>
        <w:rPr>
          <w:sz w:val="36"/>
          <w:szCs w:val="36"/>
        </w:rPr>
      </w:pPr>
    </w:p>
    <w:p w:rsidR="0098451E" w:rsidRDefault="00EA4001" w14:paraId="6265653B" w14:textId="77777777">
      <w:pPr>
        <w:rPr>
          <w:b/>
          <w:sz w:val="36"/>
          <w:szCs w:val="36"/>
        </w:rPr>
      </w:pPr>
      <w:r>
        <w:rPr>
          <w:b/>
          <w:sz w:val="36"/>
          <w:szCs w:val="36"/>
        </w:rPr>
        <w:t>Key Points to Remember</w:t>
      </w:r>
    </w:p>
    <w:p w:rsidR="0098451E" w:rsidRDefault="00EA4001" w14:paraId="558B82A6" w14:textId="77777777">
      <w:pPr>
        <w:rPr>
          <w:color w:val="212121"/>
          <w:sz w:val="36"/>
          <w:szCs w:val="36"/>
          <w:highlight w:val="white"/>
        </w:rPr>
      </w:pPr>
      <w:r>
        <w:rPr>
          <w:color w:val="212121"/>
          <w:sz w:val="36"/>
          <w:szCs w:val="36"/>
          <w:highlight w:val="white"/>
        </w:rPr>
        <w:t>Key Point 1 - There are not hard and fast lines between the levels - and changing one can affect another.</w:t>
      </w:r>
    </w:p>
    <w:p w:rsidR="0098451E" w:rsidRDefault="0098451E" w14:paraId="3DEEC669" w14:textId="77777777">
      <w:pPr>
        <w:rPr>
          <w:color w:val="212121"/>
          <w:sz w:val="36"/>
          <w:szCs w:val="36"/>
          <w:highlight w:val="white"/>
        </w:rPr>
      </w:pPr>
    </w:p>
    <w:p w:rsidR="0098451E" w:rsidRDefault="00EA4001" w14:paraId="2A783434" w14:textId="77777777">
      <w:pPr>
        <w:rPr>
          <w:sz w:val="36"/>
          <w:szCs w:val="36"/>
        </w:rPr>
      </w:pPr>
      <w:r>
        <w:rPr>
          <w:color w:val="212121"/>
          <w:sz w:val="36"/>
          <w:szCs w:val="36"/>
          <w:highlight w:val="white"/>
        </w:rPr>
        <w:t>Key Point 2 - The way to effect change is by addressing institutional and structural oppression- this is where injustice lives.</w:t>
      </w:r>
    </w:p>
    <w:p w:rsidR="0098451E" w:rsidRDefault="0098451E" w14:paraId="3656B9AB" w14:textId="77777777"/>
    <w:p w:rsidR="0098451E" w:rsidRDefault="0098451E" w14:paraId="45FB0818" w14:textId="77777777"/>
    <w:p w:rsidR="0098451E" w:rsidRDefault="00EA4001" w14:paraId="049F31CB" w14:textId="77777777">
      <w:r>
        <w:br w:type="page"/>
      </w:r>
    </w:p>
    <w:p w:rsidR="0098451E" w:rsidRDefault="00EA4001" w14:paraId="66664791" w14:textId="77777777">
      <w:pPr>
        <w:rPr>
          <w:b/>
          <w:color w:val="000000"/>
          <w:sz w:val="28"/>
          <w:szCs w:val="28"/>
        </w:rPr>
      </w:pPr>
      <w:r>
        <w:rPr>
          <w:b/>
          <w:color w:val="000000"/>
          <w:sz w:val="32"/>
          <w:szCs w:val="32"/>
        </w:rPr>
        <w:lastRenderedPageBreak/>
        <w:t>Expressions of Oppression Exercise</w:t>
      </w:r>
    </w:p>
    <w:p w:rsidR="0098451E" w:rsidRDefault="00EA4001" w14:paraId="4A2C101B" w14:textId="77777777">
      <w:pPr>
        <w:spacing w:after="0" w:line="240" w:lineRule="auto"/>
      </w:pPr>
      <w:r>
        <w:rPr>
          <w:b/>
        </w:rPr>
        <w:t>INSTRUCTIONS:</w:t>
      </w:r>
      <w:r>
        <w:t xml:space="preserve"> Please review the cases below and as a group, have a discussion on </w:t>
      </w:r>
      <w:r w:rsidR="00A47308">
        <w:t xml:space="preserve">your assigned </w:t>
      </w:r>
      <w:r>
        <w:t>case</w:t>
      </w:r>
      <w:r w:rsidR="00A47308">
        <w:t xml:space="preserve"> to come to a decision about</w:t>
      </w:r>
      <w:r>
        <w:t xml:space="preserve"> which level of oppression each case belongs to. Please ensure there is consensus in your group in your answers.</w:t>
      </w:r>
      <w:r w:rsidR="00A47308">
        <w:t xml:space="preserve"> Be prepared to share in three minutes – a summary of your case, the level you chose, and why you made that decision. </w:t>
      </w:r>
    </w:p>
    <w:p w:rsidR="0098451E" w:rsidRDefault="0098451E" w14:paraId="53128261" w14:textId="77777777">
      <w:pPr>
        <w:spacing w:after="0" w:line="240" w:lineRule="auto"/>
      </w:pPr>
    </w:p>
    <w:tbl>
      <w:tblPr>
        <w:tblStyle w:val="a0"/>
        <w:tblW w:w="10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65"/>
        <w:gridCol w:w="7988"/>
      </w:tblGrid>
      <w:tr w:rsidR="0098451E" w:rsidTr="00A47308" w14:paraId="5F4E7DEA" w14:textId="77777777">
        <w:trPr>
          <w:trHeight w:val="409"/>
        </w:trPr>
        <w:tc>
          <w:tcPr>
            <w:tcW w:w="10053" w:type="dxa"/>
            <w:gridSpan w:val="2"/>
            <w:shd w:val="clear" w:color="auto" w:fill="514843"/>
          </w:tcPr>
          <w:p w:rsidR="0098451E" w:rsidRDefault="00EA4001" w14:paraId="37370B1D" w14:textId="77777777">
            <w:pPr>
              <w:rPr>
                <w:b/>
              </w:rPr>
            </w:pPr>
            <w:r>
              <w:rPr>
                <w:b/>
                <w:color w:val="FFFFCC"/>
              </w:rPr>
              <w:t>Scenario #1: Oppression in Medicine</w:t>
            </w:r>
          </w:p>
        </w:tc>
      </w:tr>
      <w:tr w:rsidR="00A47308" w:rsidTr="00EA4001" w14:paraId="61FE9BC6" w14:textId="77777777">
        <w:trPr>
          <w:trHeight w:val="868"/>
        </w:trPr>
        <w:tc>
          <w:tcPr>
            <w:tcW w:w="2065" w:type="dxa"/>
            <w:shd w:val="clear" w:color="auto" w:fill="auto"/>
          </w:tcPr>
          <w:p w:rsidR="00A47308" w:rsidRDefault="00A47308" w14:paraId="5210CE5C" w14:textId="77777777">
            <w:pPr>
              <w:rPr>
                <w:b/>
              </w:rPr>
            </w:pPr>
            <w:r>
              <w:rPr>
                <w:b/>
              </w:rPr>
              <w:t>Quick Summary of the Case</w:t>
            </w:r>
          </w:p>
        </w:tc>
        <w:tc>
          <w:tcPr>
            <w:tcW w:w="7988" w:type="dxa"/>
          </w:tcPr>
          <w:p w:rsidR="00A47308" w:rsidRDefault="00A47308" w14:paraId="62486C05" w14:textId="77777777">
            <w:pPr>
              <w:rPr>
                <w:b/>
              </w:rPr>
            </w:pPr>
          </w:p>
        </w:tc>
      </w:tr>
      <w:tr w:rsidR="0098451E" w:rsidTr="00EA4001" w14:paraId="33174CC5" w14:textId="77777777">
        <w:trPr>
          <w:trHeight w:val="868"/>
        </w:trPr>
        <w:tc>
          <w:tcPr>
            <w:tcW w:w="2065" w:type="dxa"/>
            <w:shd w:val="clear" w:color="auto" w:fill="auto"/>
          </w:tcPr>
          <w:p w:rsidR="0098451E" w:rsidP="00A47308" w:rsidRDefault="00A47308" w14:paraId="6AC084C8" w14:textId="77777777">
            <w:pPr>
              <w:rPr>
                <w:b/>
              </w:rPr>
            </w:pPr>
            <w:r>
              <w:rPr>
                <w:b/>
              </w:rPr>
              <w:t xml:space="preserve">Level of </w:t>
            </w:r>
            <w:r w:rsidR="00EA4001">
              <w:rPr>
                <w:b/>
              </w:rPr>
              <w:t>Expression of Oppression</w:t>
            </w:r>
            <w:r>
              <w:rPr>
                <w:b/>
              </w:rPr>
              <w:t xml:space="preserve"> and Why you chose this</w:t>
            </w:r>
            <w:r w:rsidR="00EA4001">
              <w:rPr>
                <w:b/>
              </w:rPr>
              <w:t xml:space="preserve"> </w:t>
            </w:r>
          </w:p>
        </w:tc>
        <w:tc>
          <w:tcPr>
            <w:tcW w:w="7988" w:type="dxa"/>
          </w:tcPr>
          <w:p w:rsidR="0098451E" w:rsidRDefault="0098451E" w14:paraId="4101652C" w14:textId="77777777">
            <w:pPr>
              <w:rPr>
                <w:b/>
              </w:rPr>
            </w:pPr>
          </w:p>
        </w:tc>
      </w:tr>
    </w:tbl>
    <w:p w:rsidR="0098451E" w:rsidRDefault="00F210AE" w14:paraId="4638EC1C" w14:textId="77777777">
      <w:pPr>
        <w:spacing w:after="0" w:line="240" w:lineRule="auto"/>
      </w:pPr>
      <w:hyperlink r:id="rId6">
        <w:r w:rsidR="00EA4001">
          <w:rPr>
            <w:color w:val="0000FF"/>
            <w:u w:val="single"/>
          </w:rPr>
          <w:t>https://www.thetaskforce.org/new-report-reveals-rampant-discrimination-against-transgender-people-by-health-providers-high-hiv-rates-and-widespread-lack-of-access-to-necessary-care-2/</w:t>
        </w:r>
      </w:hyperlink>
      <w:r w:rsidR="00EA4001">
        <w:t xml:space="preserve">  </w:t>
      </w:r>
    </w:p>
    <w:p w:rsidRPr="00EA4001" w:rsidR="0098451E" w:rsidP="00EA4001" w:rsidRDefault="00A47308" w14:paraId="23E63BF6" w14:textId="77777777">
      <w:pPr>
        <w:pBdr>
          <w:top w:val="nil"/>
          <w:left w:val="nil"/>
          <w:bottom w:val="nil"/>
          <w:right w:val="nil"/>
          <w:between w:val="nil"/>
        </w:pBdr>
        <w:spacing w:after="0" w:line="240" w:lineRule="auto"/>
      </w:pPr>
      <w:r>
        <w:rPr>
          <w:rFonts w:ascii="Cambria" w:hAnsi="Cambria" w:eastAsia="Cambria" w:cs="Cambria"/>
          <w:noProof/>
          <w:color w:val="000000"/>
          <w:sz w:val="24"/>
          <w:szCs w:val="24"/>
        </w:rPr>
        <w:drawing>
          <wp:anchor distT="0" distB="0" distL="114300" distR="114300" simplePos="0" relativeHeight="251657216" behindDoc="0" locked="0" layoutInCell="1" allowOverlap="1" wp14:anchorId="7EF1DD59" wp14:editId="742F2B19">
            <wp:simplePos x="0" y="0"/>
            <wp:positionH relativeFrom="column">
              <wp:posOffset>48895</wp:posOffset>
            </wp:positionH>
            <wp:positionV relativeFrom="paragraph">
              <wp:posOffset>37465</wp:posOffset>
            </wp:positionV>
            <wp:extent cx="1407160" cy="1232535"/>
            <wp:effectExtent l="0" t="0" r="2540" b="5715"/>
            <wp:wrapSquare wrapText="bothSides"/>
            <wp:docPr id="20210787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407160" cy="1232535"/>
                    </a:xfrm>
                    <a:prstGeom prst="rect">
                      <a:avLst/>
                    </a:prstGeom>
                    <a:ln/>
                  </pic:spPr>
                </pic:pic>
              </a:graphicData>
            </a:graphic>
            <wp14:sizeRelH relativeFrom="margin">
              <wp14:pctWidth>0</wp14:pctWidth>
            </wp14:sizeRelH>
            <wp14:sizeRelV relativeFrom="margin">
              <wp14:pctHeight>0</wp14:pctHeight>
            </wp14:sizeRelV>
          </wp:anchor>
        </w:drawing>
      </w:r>
      <w:r w:rsidR="00EA4001">
        <w:rPr>
          <w:color w:val="000000"/>
          <w:sz w:val="24"/>
          <w:szCs w:val="24"/>
        </w:rPr>
        <w:t xml:space="preserve"> </w:t>
      </w:r>
      <w:r w:rsidRPr="00EA4001" w:rsidR="00EA4001">
        <w:t>Transgender and gender non-conforming people face rampant discrimination in health care settings, are regularly denied needed care, and experience a range of health risks because they are transgender or gender non-conforming, according to a report of more than 6,450 transgender and gender non-conforming people. The National Transgender Discrimination Survey: Report on Health and Health Care was released nationally today by the National Gay and Lesbian Task Force and the National Center for Transgender Equality.</w:t>
      </w:r>
    </w:p>
    <w:p w:rsidRPr="00EA4001" w:rsidR="0098451E" w:rsidRDefault="00EA4001" w14:paraId="6572C285" w14:textId="77777777">
      <w:pPr>
        <w:pBdr>
          <w:top w:val="nil"/>
          <w:left w:val="nil"/>
          <w:bottom w:val="nil"/>
          <w:right w:val="nil"/>
          <w:between w:val="nil"/>
        </w:pBdr>
        <w:spacing w:after="0" w:line="240" w:lineRule="auto"/>
        <w:rPr>
          <w:color w:val="000000"/>
        </w:rPr>
      </w:pPr>
      <w:r w:rsidRPr="00EA4001">
        <w:rPr>
          <w:color w:val="000000"/>
        </w:rPr>
        <w:t>Key findings include:</w:t>
      </w:r>
    </w:p>
    <w:p w:rsidRPr="00EA4001" w:rsidR="0098451E" w:rsidP="00A47308" w:rsidRDefault="00EA4001" w14:paraId="2210DB17" w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Nearly 1 in 5 (19 percent) reported being refused care outright because they were transgender or gender non-conforming.</w:t>
      </w:r>
    </w:p>
    <w:p w:rsidRPr="00EA4001" w:rsidR="0098451E" w:rsidP="00A47308" w:rsidRDefault="00A47308" w14:paraId="61C84828" w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S</w:t>
      </w:r>
      <w:r w:rsidRPr="00EA4001" w:rsidR="00EA4001">
        <w:rPr>
          <w:color w:val="000000"/>
        </w:rPr>
        <w:t>urvey participants reported very high levels of postponing medical care when sick or injured due to discrimination and disrespect (28 percent).</w:t>
      </w:r>
    </w:p>
    <w:p w:rsidRPr="00F210AE" w:rsidR="00F210AE" w:rsidP="00F210AE" w:rsidRDefault="00A47308" w14:paraId="38293BA4" w14:textId="5E1C2032">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proofErr w:type="spellStart"/>
      <w:r w:rsidRPr="00EA4001">
        <w:rPr>
          <w:color w:val="000000"/>
        </w:rPr>
        <w:t>Harrassment</w:t>
      </w:r>
      <w:proofErr w:type="spellEnd"/>
      <w:r w:rsidRPr="00EA4001" w:rsidR="00EA4001">
        <w:rPr>
          <w:color w:val="000000"/>
        </w:rPr>
        <w:t>: 28 percent of respondents were subjected to harassment in medical settings.</w:t>
      </w:r>
    </w:p>
    <w:p w:rsidR="0098451E" w:rsidRDefault="0098451E" w14:paraId="4B99056E" w14:textId="77777777">
      <w:pPr>
        <w:pBdr>
          <w:top w:val="nil"/>
          <w:left w:val="nil"/>
          <w:bottom w:val="nil"/>
          <w:right w:val="nil"/>
          <w:between w:val="nil"/>
        </w:pBdr>
        <w:spacing w:after="0" w:line="240" w:lineRule="auto"/>
        <w:rPr>
          <w:color w:val="000000"/>
          <w:sz w:val="24"/>
          <w:szCs w:val="24"/>
        </w:rPr>
      </w:pPr>
    </w:p>
    <w:tbl>
      <w:tblPr>
        <w:tblStyle w:val="a5"/>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w:rsidR="00EA4001" w:rsidTr="00501144" w14:paraId="6281592C" w14:textId="77777777">
        <w:tc>
          <w:tcPr>
            <w:tcW w:w="9926" w:type="dxa"/>
            <w:gridSpan w:val="2"/>
            <w:shd w:val="clear" w:color="auto" w:fill="514843"/>
          </w:tcPr>
          <w:p w:rsidR="00EA4001" w:rsidP="00501144" w:rsidRDefault="00EA4001" w14:paraId="7374CF61" w14:textId="77777777">
            <w:pPr>
              <w:rPr>
                <w:b/>
              </w:rPr>
            </w:pPr>
            <w:r>
              <w:rPr>
                <w:b/>
                <w:color w:val="FFFFCC"/>
              </w:rPr>
              <w:t xml:space="preserve">Scenario #2: LGBTQ+ Youth and the Juvenile Justice System  </w:t>
            </w:r>
            <w:r>
              <w:rPr>
                <w:b/>
                <w:color w:val="4C4C4C"/>
              </w:rPr>
              <w:t>LGBTQ+ youth in the juvenile justice system</w:t>
            </w:r>
          </w:p>
        </w:tc>
      </w:tr>
      <w:tr w:rsidR="00EA4001" w:rsidTr="00501144" w14:paraId="1D1554F9" w14:textId="77777777">
        <w:tc>
          <w:tcPr>
            <w:tcW w:w="2557" w:type="dxa"/>
            <w:shd w:val="clear" w:color="auto" w:fill="auto"/>
          </w:tcPr>
          <w:p w:rsidR="00EA4001" w:rsidP="00501144" w:rsidRDefault="00EA4001" w14:paraId="2A8ED732" w14:textId="77777777">
            <w:pPr>
              <w:rPr>
                <w:b/>
              </w:rPr>
            </w:pPr>
            <w:r>
              <w:rPr>
                <w:b/>
              </w:rPr>
              <w:t>Quick Summary of the Case</w:t>
            </w:r>
          </w:p>
        </w:tc>
        <w:tc>
          <w:tcPr>
            <w:tcW w:w="7369" w:type="dxa"/>
          </w:tcPr>
          <w:p w:rsidR="00EA4001" w:rsidP="00501144" w:rsidRDefault="00EA4001" w14:paraId="1299C43A" w14:textId="77777777">
            <w:pPr>
              <w:rPr>
                <w:b/>
              </w:rPr>
            </w:pPr>
          </w:p>
        </w:tc>
      </w:tr>
      <w:tr w:rsidR="00EA4001" w:rsidTr="00501144" w14:paraId="02833414" w14:textId="77777777">
        <w:tc>
          <w:tcPr>
            <w:tcW w:w="2557" w:type="dxa"/>
            <w:shd w:val="clear" w:color="auto" w:fill="auto"/>
          </w:tcPr>
          <w:p w:rsidR="00EA4001" w:rsidP="00501144" w:rsidRDefault="00EA4001" w14:paraId="4BEEB1CB" w14:textId="77777777">
            <w:pPr>
              <w:rPr>
                <w:b/>
              </w:rPr>
            </w:pPr>
            <w:r>
              <w:rPr>
                <w:b/>
              </w:rPr>
              <w:t xml:space="preserve">Level of Expression of Oppression and Why you chose this </w:t>
            </w:r>
          </w:p>
        </w:tc>
        <w:tc>
          <w:tcPr>
            <w:tcW w:w="7369" w:type="dxa"/>
          </w:tcPr>
          <w:p w:rsidR="00EA4001" w:rsidP="00501144" w:rsidRDefault="00EA4001" w14:paraId="4DDBEF00" w14:textId="77777777">
            <w:pPr>
              <w:rPr>
                <w:b/>
              </w:rPr>
            </w:pPr>
          </w:p>
        </w:tc>
      </w:tr>
    </w:tbl>
    <w:p w:rsidR="00EA4001" w:rsidP="37F8A4F7" w:rsidRDefault="00EA4001" w14:paraId="731D7B6E" w14:textId="573E2184">
      <w:pPr>
        <w:spacing w:before="280" w:after="280" w:line="240" w:lineRule="auto"/>
        <w:rPr>
          <w:color w:val="000000" w:themeColor="text1"/>
          <w:sz w:val="24"/>
          <w:szCs w:val="24"/>
        </w:rPr>
      </w:pPr>
      <w:r>
        <w:rPr>
          <w:noProof/>
          <w:color w:val="4C4C4C"/>
        </w:rPr>
        <w:drawing>
          <wp:anchor distT="0" distB="0" distL="114300" distR="114300" simplePos="0" relativeHeight="251661312" behindDoc="0" locked="0" layoutInCell="1" allowOverlap="1" wp14:anchorId="6ADD8893" wp14:editId="4FCD6CC2">
            <wp:simplePos x="0" y="0"/>
            <wp:positionH relativeFrom="column">
              <wp:align>left</wp:align>
            </wp:positionH>
            <wp:positionV relativeFrom="paragraph">
              <wp:posOffset>195580</wp:posOffset>
            </wp:positionV>
            <wp:extent cx="1584960" cy="958215"/>
            <wp:effectExtent l="0" t="0" r="0" b="0"/>
            <wp:wrapSquare wrapText="bothSides"/>
            <wp:docPr id="202107878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584960" cy="958215"/>
                    </a:xfrm>
                    <a:prstGeom prst="rect">
                      <a:avLst/>
                    </a:prstGeom>
                    <a:ln/>
                  </pic:spPr>
                </pic:pic>
              </a:graphicData>
            </a:graphic>
            <wp14:sizeRelH relativeFrom="page">
              <wp14:pctWidth>0</wp14:pctWidth>
            </wp14:sizeRelH>
            <wp14:sizeRelV relativeFrom="page">
              <wp14:pctHeight>0</wp14:pctHeight>
            </wp14:sizeRelV>
          </wp:anchor>
        </w:drawing>
      </w:r>
      <w:r w:rsidRPr="37F8A4F7">
        <w:rPr>
          <w:color w:val="000000" w:themeColor="text1"/>
          <w:sz w:val="24"/>
          <w:szCs w:val="24"/>
        </w:rPr>
        <w:t xml:space="preserve">For LGBTQ people, criminal justice involvement often starts at a young age. LGBTQ youth are extremely overrepresented in the juvenile justice system. Researchers estimate that </w:t>
      </w:r>
      <w:hyperlink r:id="rId9">
        <w:r w:rsidRPr="37F8A4F7">
          <w:rPr>
            <w:color w:val="000000" w:themeColor="text1"/>
            <w:sz w:val="24"/>
            <w:szCs w:val="24"/>
          </w:rPr>
          <w:t>20% of youth in the juvenile justice system</w:t>
        </w:r>
      </w:hyperlink>
      <w:r w:rsidRPr="37F8A4F7">
        <w:rPr>
          <w:color w:val="000000" w:themeColor="text1"/>
          <w:sz w:val="24"/>
          <w:szCs w:val="24"/>
        </w:rPr>
        <w:t xml:space="preserve"> are lesbian, gay, bisexual, questioning, gender nonconforming, or transgender compared with 4-6% of youth in the general population. The same research shows that 40% of girls (who were assigned female at birth) in the juvenile justice system identify as LBQ and/or gender nonconforming. This overrepresentation is largely due to the obstacles that LGBTQ youth face after fleeing abuse and lack of acceptance at home because of their sexual orientation or gender identity. In order to survive, LGBTQ youth are pushed towards criminalized behaviors such as drug sales, theft, or survival sex, which increase their risk of arrest and confinement.</w:t>
      </w:r>
    </w:p>
    <w:tbl>
      <w:tblPr>
        <w:tblStyle w:val="a1"/>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70"/>
        <w:gridCol w:w="6356"/>
      </w:tblGrid>
      <w:tr w:rsidR="0098451E" w14:paraId="3D17DD15" w14:textId="77777777">
        <w:trPr>
          <w:trHeight w:val="280"/>
        </w:trPr>
        <w:tc>
          <w:tcPr>
            <w:tcW w:w="9926" w:type="dxa"/>
            <w:gridSpan w:val="2"/>
            <w:shd w:val="clear" w:color="auto" w:fill="514843"/>
          </w:tcPr>
          <w:p w:rsidR="0098451E" w:rsidRDefault="00EA4001" w14:paraId="412DE667" w14:textId="77777777">
            <w:pPr>
              <w:rPr>
                <w:b/>
              </w:rPr>
            </w:pPr>
            <w:r>
              <w:rPr>
                <w:b/>
                <w:color w:val="FFFFCC"/>
              </w:rPr>
              <w:t>Scenario #3: Financial Services</w:t>
            </w:r>
          </w:p>
        </w:tc>
      </w:tr>
      <w:tr w:rsidR="00A47308" w14:paraId="0D8EB9B7" w14:textId="77777777">
        <w:trPr>
          <w:trHeight w:val="575"/>
        </w:trPr>
        <w:tc>
          <w:tcPr>
            <w:tcW w:w="3570" w:type="dxa"/>
            <w:shd w:val="clear" w:color="auto" w:fill="auto"/>
          </w:tcPr>
          <w:p w:rsidR="00A47308" w:rsidP="00A47308" w:rsidRDefault="00A47308" w14:paraId="4774BB59" w14:textId="77777777">
            <w:pPr>
              <w:rPr>
                <w:b/>
              </w:rPr>
            </w:pPr>
            <w:r>
              <w:rPr>
                <w:b/>
              </w:rPr>
              <w:t>Quick Summary of the Case</w:t>
            </w:r>
          </w:p>
          <w:p w:rsidR="00A47308" w:rsidP="00A47308" w:rsidRDefault="00A47308" w14:paraId="3461D779" w14:textId="77777777">
            <w:pPr>
              <w:rPr>
                <w:b/>
              </w:rPr>
            </w:pPr>
          </w:p>
          <w:p w:rsidR="00A47308" w:rsidP="00A47308" w:rsidRDefault="00A47308" w14:paraId="3CF2D8B6" w14:textId="77777777">
            <w:pPr>
              <w:rPr>
                <w:b/>
              </w:rPr>
            </w:pPr>
          </w:p>
        </w:tc>
        <w:tc>
          <w:tcPr>
            <w:tcW w:w="6356" w:type="dxa"/>
            <w:shd w:val="clear" w:color="auto" w:fill="auto"/>
          </w:tcPr>
          <w:p w:rsidR="00A47308" w:rsidP="00A47308" w:rsidRDefault="00A47308" w14:paraId="0FB78278" w14:textId="77777777">
            <w:pPr>
              <w:rPr>
                <w:b/>
              </w:rPr>
            </w:pPr>
          </w:p>
        </w:tc>
      </w:tr>
      <w:tr w:rsidR="00A47308" w14:paraId="1F9121BE" w14:textId="77777777">
        <w:trPr>
          <w:trHeight w:val="575"/>
        </w:trPr>
        <w:tc>
          <w:tcPr>
            <w:tcW w:w="3570" w:type="dxa"/>
            <w:shd w:val="clear" w:color="auto" w:fill="auto"/>
          </w:tcPr>
          <w:p w:rsidR="00A47308" w:rsidP="00A47308" w:rsidRDefault="00A47308" w14:paraId="7E985935" w14:textId="77777777">
            <w:pPr>
              <w:rPr>
                <w:b/>
              </w:rPr>
            </w:pPr>
            <w:r>
              <w:rPr>
                <w:b/>
              </w:rPr>
              <w:t xml:space="preserve">Level of Expression of Oppression and Why you chose this </w:t>
            </w:r>
          </w:p>
          <w:p w:rsidR="00A47308" w:rsidP="00A47308" w:rsidRDefault="00A47308" w14:paraId="1FC39945" w14:textId="77777777">
            <w:pPr>
              <w:rPr>
                <w:b/>
              </w:rPr>
            </w:pPr>
          </w:p>
          <w:p w:rsidR="00A47308" w:rsidP="00A47308" w:rsidRDefault="00A47308" w14:paraId="0562CB0E" w14:textId="77777777">
            <w:pPr>
              <w:rPr>
                <w:b/>
              </w:rPr>
            </w:pPr>
          </w:p>
        </w:tc>
        <w:tc>
          <w:tcPr>
            <w:tcW w:w="6356" w:type="dxa"/>
            <w:shd w:val="clear" w:color="auto" w:fill="auto"/>
          </w:tcPr>
          <w:p w:rsidR="00A47308" w:rsidP="00A47308" w:rsidRDefault="00A47308" w14:paraId="34CE0A41" w14:textId="77777777">
            <w:pPr>
              <w:rPr>
                <w:b/>
              </w:rPr>
            </w:pPr>
          </w:p>
        </w:tc>
      </w:tr>
    </w:tbl>
    <w:p w:rsidR="0098451E" w:rsidRDefault="00F210AE" w14:paraId="232BF0FC" w14:textId="77777777">
      <w:pPr>
        <w:spacing w:after="0" w:line="240" w:lineRule="auto"/>
        <w:rPr>
          <w:color w:val="0000FF"/>
          <w:u w:val="single"/>
        </w:rPr>
      </w:pPr>
      <w:hyperlink r:id="rId10">
        <w:r w:rsidR="00EA4001">
          <w:rPr>
            <w:color w:val="0000FF"/>
            <w:u w:val="single"/>
          </w:rPr>
          <w:t>https://www.cnbc.com/2022/06/28/30percent-of-lgbtq-adults-experienced-discrimination-in-financial-services.html</w:t>
        </w:r>
      </w:hyperlink>
      <w:r w:rsidR="00EA4001">
        <w:rPr>
          <w:color w:val="0000FF"/>
          <w:u w:val="single"/>
        </w:rPr>
        <w:t xml:space="preserve"> </w:t>
      </w:r>
    </w:p>
    <w:p w:rsidR="0098451E" w:rsidRDefault="00EA4001" w14:paraId="00C07636" w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rFonts w:ascii="Cambria" w:hAnsi="Cambria" w:eastAsia="Cambria" w:cs="Cambria"/>
          <w:noProof/>
          <w:color w:val="000000"/>
          <w:sz w:val="24"/>
          <w:szCs w:val="24"/>
        </w:rPr>
        <w:drawing>
          <wp:anchor distT="0" distB="0" distL="114300" distR="114300" simplePos="0" relativeHeight="251654144" behindDoc="0" locked="0" layoutInCell="1" allowOverlap="1" wp14:anchorId="00CF83D1" wp14:editId="07777777">
            <wp:simplePos x="0" y="0"/>
            <wp:positionH relativeFrom="column">
              <wp:posOffset>-1475</wp:posOffset>
            </wp:positionH>
            <wp:positionV relativeFrom="paragraph">
              <wp:posOffset>179562</wp:posOffset>
            </wp:positionV>
            <wp:extent cx="1478139" cy="831453"/>
            <wp:effectExtent l="0" t="0" r="8255" b="6985"/>
            <wp:wrapSquare wrapText="bothSides"/>
            <wp:docPr id="20210787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478139" cy="831453"/>
                    </a:xfrm>
                    <a:prstGeom prst="rect">
                      <a:avLst/>
                    </a:prstGeom>
                    <a:ln/>
                  </pic:spPr>
                </pic:pic>
              </a:graphicData>
            </a:graphic>
          </wp:anchor>
        </w:drawing>
      </w:r>
      <w:r>
        <w:rPr>
          <w:color w:val="000000"/>
          <w:sz w:val="24"/>
          <w:szCs w:val="24"/>
        </w:rPr>
        <w:t>Members of the LGBTQIA+ community are still struggling, in some instances, to access financial services that would help them manage their money.</w:t>
      </w:r>
    </w:p>
    <w:p w:rsidR="0098451E" w:rsidRDefault="00EA4001" w14:paraId="2C64C817" w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color w:val="000000"/>
          <w:sz w:val="24"/>
          <w:szCs w:val="24"/>
        </w:rPr>
        <w:t xml:space="preserve"> </w:t>
      </w:r>
      <w:r>
        <w:rPr>
          <w:sz w:val="24"/>
          <w:szCs w:val="24"/>
        </w:rPr>
        <w:t>S</w:t>
      </w:r>
      <w:r>
        <w:rPr>
          <w:color w:val="000000"/>
          <w:sz w:val="24"/>
          <w:szCs w:val="24"/>
        </w:rPr>
        <w:t>ome 30% of LGBTQIA+ adults have experienced bias, discrimination or exclusion in the financial services sector, either from individuals or organizations, a survey from the National Endowment for Financial Education found. The online survey of more than 1,000 adults in the LGBTQ+ community took place from May 6 to May 17.</w:t>
      </w:r>
    </w:p>
    <w:p w:rsidR="0098451E" w:rsidRDefault="00EA4001" w14:paraId="268F46C5" w14:textId="77777777">
      <w:pPr>
        <w:pBdr>
          <w:top w:val="nil"/>
          <w:left w:val="nil"/>
          <w:bottom w:val="nil"/>
          <w:right w:val="nil"/>
          <w:between w:val="nil"/>
        </w:pBdr>
        <w:spacing w:before="280" w:after="280" w:line="240" w:lineRule="auto"/>
        <w:rPr>
          <w:color w:val="000000"/>
          <w:sz w:val="24"/>
          <w:szCs w:val="24"/>
        </w:rPr>
      </w:pPr>
      <w:r>
        <w:rPr>
          <w:color w:val="000000"/>
          <w:sz w:val="24"/>
          <w:szCs w:val="24"/>
        </w:rPr>
        <w:t xml:space="preserve">Of those who experienced such barriers to accessing financial services, many noted that age and orientation were the top reasons they felt led to the experience. In addition, transgender respondents face the most discrimination, the survey found. </w:t>
      </w:r>
    </w:p>
    <w:p w:rsidR="00A47308" w:rsidP="00A47308" w:rsidRDefault="00A47308" w14:paraId="62EBF3C5" w14:textId="77777777">
      <w:pPr>
        <w:pBdr>
          <w:top w:val="nil"/>
          <w:left w:val="nil"/>
          <w:bottom w:val="nil"/>
          <w:right w:val="nil"/>
          <w:between w:val="nil"/>
        </w:pBdr>
        <w:spacing w:after="0" w:line="240" w:lineRule="auto"/>
        <w:rPr>
          <w:color w:val="000000"/>
          <w:sz w:val="24"/>
          <w:szCs w:val="24"/>
        </w:rPr>
      </w:pPr>
    </w:p>
    <w:tbl>
      <w:tblPr>
        <w:tblStyle w:val="a2"/>
        <w:tblW w:w="96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65"/>
        <w:gridCol w:w="6649"/>
      </w:tblGrid>
      <w:tr w:rsidR="0098451E" w14:paraId="361049C3" w14:textId="77777777">
        <w:trPr>
          <w:trHeight w:val="263"/>
        </w:trPr>
        <w:tc>
          <w:tcPr>
            <w:tcW w:w="9614" w:type="dxa"/>
            <w:gridSpan w:val="2"/>
            <w:shd w:val="clear" w:color="auto" w:fill="514843"/>
          </w:tcPr>
          <w:p w:rsidR="0098451E" w:rsidRDefault="00EA4001" w14:paraId="2562C3A5" w14:textId="77777777">
            <w:pPr>
              <w:rPr>
                <w:b/>
              </w:rPr>
            </w:pPr>
            <w:r>
              <w:rPr>
                <w:b/>
                <w:color w:val="FFFFCC"/>
              </w:rPr>
              <w:t>Scenario #4: Department of Education</w:t>
            </w:r>
          </w:p>
        </w:tc>
      </w:tr>
      <w:tr w:rsidR="00A47308" w:rsidTr="00D4602E" w14:paraId="156CFE04" w14:textId="77777777">
        <w:trPr>
          <w:trHeight w:val="794"/>
        </w:trPr>
        <w:tc>
          <w:tcPr>
            <w:tcW w:w="2965" w:type="dxa"/>
            <w:shd w:val="clear" w:color="auto" w:fill="auto"/>
          </w:tcPr>
          <w:p w:rsidR="00A47308" w:rsidP="00A47308" w:rsidRDefault="00A47308" w14:paraId="72599935" w14:textId="77777777">
            <w:pPr>
              <w:rPr>
                <w:b/>
              </w:rPr>
            </w:pPr>
            <w:r>
              <w:rPr>
                <w:b/>
              </w:rPr>
              <w:t>Quick Summary of the Case</w:t>
            </w:r>
          </w:p>
        </w:tc>
        <w:tc>
          <w:tcPr>
            <w:tcW w:w="6649" w:type="dxa"/>
            <w:shd w:val="clear" w:color="auto" w:fill="auto"/>
          </w:tcPr>
          <w:p w:rsidR="00A47308" w:rsidP="00A47308" w:rsidRDefault="00A47308" w14:paraId="6D98A12B" w14:textId="77777777">
            <w:pPr>
              <w:rPr>
                <w:b/>
              </w:rPr>
            </w:pPr>
          </w:p>
        </w:tc>
      </w:tr>
      <w:tr w:rsidR="00A47308" w14:paraId="7B537C50" w14:textId="77777777">
        <w:trPr>
          <w:trHeight w:val="794"/>
        </w:trPr>
        <w:tc>
          <w:tcPr>
            <w:tcW w:w="2965" w:type="dxa"/>
            <w:shd w:val="clear" w:color="auto" w:fill="auto"/>
          </w:tcPr>
          <w:p w:rsidR="00A47308" w:rsidP="00A47308" w:rsidRDefault="00A47308" w14:paraId="5E48A697" w14:textId="77777777">
            <w:pPr>
              <w:rPr>
                <w:b/>
              </w:rPr>
            </w:pPr>
            <w:r>
              <w:rPr>
                <w:b/>
              </w:rPr>
              <w:t xml:space="preserve">Level of Expression of Oppression and Why you chose this </w:t>
            </w:r>
          </w:p>
        </w:tc>
        <w:tc>
          <w:tcPr>
            <w:tcW w:w="6649" w:type="dxa"/>
            <w:shd w:val="clear" w:color="auto" w:fill="auto"/>
          </w:tcPr>
          <w:p w:rsidR="00A47308" w:rsidP="00A47308" w:rsidRDefault="00A47308" w14:paraId="2946DB82" w14:textId="77777777">
            <w:pPr>
              <w:rPr>
                <w:b/>
              </w:rPr>
            </w:pPr>
          </w:p>
        </w:tc>
      </w:tr>
    </w:tbl>
    <w:p w:rsidR="0098451E" w:rsidRDefault="00EA4001" w14:paraId="25505438" w14:textId="77777777">
      <w:pPr>
        <w:pBdr>
          <w:top w:val="nil"/>
          <w:left w:val="nil"/>
          <w:bottom w:val="nil"/>
          <w:right w:val="nil"/>
          <w:between w:val="nil"/>
        </w:pBdr>
        <w:spacing w:after="0" w:line="240" w:lineRule="auto"/>
        <w:rPr>
          <w:color w:val="000000"/>
          <w:sz w:val="24"/>
          <w:szCs w:val="24"/>
        </w:rPr>
      </w:pPr>
      <w:r>
        <w:rPr>
          <w:color w:val="000000"/>
          <w:sz w:val="24"/>
          <w:szCs w:val="24"/>
        </w:rPr>
        <w:t xml:space="preserve">  </w:t>
      </w:r>
      <w:hyperlink r:id="rId12">
        <w:r>
          <w:rPr>
            <w:color w:val="0000FF"/>
            <w:sz w:val="24"/>
            <w:szCs w:val="24"/>
            <w:u w:val="single"/>
          </w:rPr>
          <w:t>https://www.washingtonpost.com/education/2022/03/30/transgender-discrimination-title-ix-rule-students/</w:t>
        </w:r>
      </w:hyperlink>
      <w:r>
        <w:rPr>
          <w:color w:val="000000"/>
          <w:sz w:val="24"/>
          <w:szCs w:val="24"/>
        </w:rPr>
        <w:t xml:space="preserve"> </w:t>
      </w:r>
    </w:p>
    <w:p w:rsidR="0098451E" w:rsidRDefault="00EA4001" w14:paraId="0E775938" w14:textId="77777777">
      <w:pPr>
        <w:spacing w:after="0" w:line="240" w:lineRule="auto"/>
      </w:pPr>
      <w:r>
        <w:rPr>
          <w:noProof/>
        </w:rPr>
        <w:drawing>
          <wp:anchor distT="0" distB="0" distL="114300" distR="114300" simplePos="0" relativeHeight="251658240" behindDoc="0" locked="0" layoutInCell="1" allowOverlap="1" wp14:anchorId="78F06112" wp14:editId="07777777">
            <wp:simplePos x="0" y="0"/>
            <wp:positionH relativeFrom="column">
              <wp:posOffset>-1475</wp:posOffset>
            </wp:positionH>
            <wp:positionV relativeFrom="paragraph">
              <wp:posOffset>-2663</wp:posOffset>
            </wp:positionV>
            <wp:extent cx="1309688" cy="873125"/>
            <wp:effectExtent l="0" t="0" r="5080" b="3175"/>
            <wp:wrapSquare wrapText="bothSides"/>
            <wp:docPr id="20210787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309688" cy="873125"/>
                    </a:xfrm>
                    <a:prstGeom prst="rect">
                      <a:avLst/>
                    </a:prstGeom>
                    <a:ln/>
                  </pic:spPr>
                </pic:pic>
              </a:graphicData>
            </a:graphic>
          </wp:anchor>
        </w:drawing>
      </w:r>
      <w:r>
        <w:t>Discrimination against transgender students would be a violation of federal civil rights law under proposed regulations the Education Department is expected to finalize in the coming weeks.</w:t>
      </w:r>
    </w:p>
    <w:p w:rsidR="0098451E" w:rsidRDefault="00EA4001" w14:paraId="29D6B04F" w14:textId="77777777">
      <w:pPr>
        <w:spacing w:after="0" w:line="240" w:lineRule="auto"/>
      </w:pPr>
      <w:r>
        <w:t xml:space="preserve"> </w:t>
      </w:r>
    </w:p>
    <w:p w:rsidR="0098451E" w:rsidRDefault="00EA4001" w14:paraId="159EBBE8" w14:textId="77777777">
      <w:pPr>
        <w:spacing w:after="0" w:line="240" w:lineRule="auto"/>
      </w:pPr>
      <w:r>
        <w:t>Title IX bars discrimination on the basis of sex in education, and the new rules would make clear this includes discrimination based on sexual orientation and gender identity, among other things, according to two people familiar with a draft of the proposed regulation who spoke on the condition of anonymity because they were not authorized to publicly comment on the subject.</w:t>
      </w:r>
    </w:p>
    <w:p w:rsidR="0098451E" w:rsidRDefault="00EA4001" w14:paraId="0A6959E7" w14:textId="77777777">
      <w:pPr>
        <w:spacing w:after="0" w:line="240" w:lineRule="auto"/>
      </w:pPr>
      <w:r>
        <w:t xml:space="preserve"> </w:t>
      </w:r>
    </w:p>
    <w:p w:rsidR="0098451E" w:rsidRDefault="00EA4001" w14:paraId="5CD25EFC" w14:textId="77777777">
      <w:pPr>
        <w:spacing w:after="0" w:line="240" w:lineRule="auto"/>
      </w:pPr>
      <w:r>
        <w:t>Regulations carry the power of law. The rules, if finalized, would set up a clash with state laws that bar transgender women from competing in women’s sports. Those statutes are already being challenged in the courts.</w:t>
      </w:r>
    </w:p>
    <w:p w:rsidR="0098451E" w:rsidRDefault="0098451E" w14:paraId="5997CC1D" w14:textId="77777777">
      <w:pPr>
        <w:spacing w:after="0" w:line="240" w:lineRule="auto"/>
      </w:pPr>
    </w:p>
    <w:p w:rsidR="0098451E" w:rsidRDefault="0098451E" w14:paraId="110FFD37" w14:textId="77777777">
      <w:pPr>
        <w:spacing w:after="0" w:line="240" w:lineRule="auto"/>
      </w:pPr>
    </w:p>
    <w:tbl>
      <w:tblPr>
        <w:tblStyle w:val="a3"/>
        <w:tblW w:w="99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12"/>
        <w:gridCol w:w="7213"/>
      </w:tblGrid>
      <w:tr w:rsidR="0098451E" w14:paraId="27DFC147" w14:textId="77777777">
        <w:tc>
          <w:tcPr>
            <w:tcW w:w="9925" w:type="dxa"/>
            <w:gridSpan w:val="2"/>
            <w:shd w:val="clear" w:color="auto" w:fill="514843"/>
          </w:tcPr>
          <w:p w:rsidR="0098451E" w:rsidRDefault="00EA4001" w14:paraId="7E3CFF59" w14:textId="77777777">
            <w:pPr>
              <w:rPr>
                <w:b/>
              </w:rPr>
            </w:pPr>
            <w:r>
              <w:rPr>
                <w:b/>
                <w:color w:val="FFFFCC"/>
              </w:rPr>
              <w:t>Scenario #5: Swimming Ban</w:t>
            </w:r>
          </w:p>
        </w:tc>
      </w:tr>
      <w:tr w:rsidR="00A47308" w14:paraId="4564B670" w14:textId="77777777">
        <w:trPr>
          <w:trHeight w:val="611"/>
        </w:trPr>
        <w:tc>
          <w:tcPr>
            <w:tcW w:w="2712" w:type="dxa"/>
            <w:shd w:val="clear" w:color="auto" w:fill="auto"/>
          </w:tcPr>
          <w:p w:rsidR="00A47308" w:rsidP="00A47308" w:rsidRDefault="00A47308" w14:paraId="2912F867" w14:textId="77777777">
            <w:pPr>
              <w:rPr>
                <w:b/>
              </w:rPr>
            </w:pPr>
            <w:r>
              <w:rPr>
                <w:b/>
              </w:rPr>
              <w:t>Quick Summary of the Case</w:t>
            </w:r>
          </w:p>
        </w:tc>
        <w:tc>
          <w:tcPr>
            <w:tcW w:w="7213" w:type="dxa"/>
          </w:tcPr>
          <w:p w:rsidR="00A47308" w:rsidP="00A47308" w:rsidRDefault="00A47308" w14:paraId="6B699379" w14:textId="77777777">
            <w:pPr>
              <w:rPr>
                <w:b/>
              </w:rPr>
            </w:pPr>
          </w:p>
        </w:tc>
      </w:tr>
      <w:tr w:rsidR="00A47308" w14:paraId="18728659" w14:textId="77777777">
        <w:trPr>
          <w:trHeight w:val="611"/>
        </w:trPr>
        <w:tc>
          <w:tcPr>
            <w:tcW w:w="2712" w:type="dxa"/>
            <w:shd w:val="clear" w:color="auto" w:fill="auto"/>
          </w:tcPr>
          <w:p w:rsidR="00A47308" w:rsidP="00A47308" w:rsidRDefault="00A47308" w14:paraId="21676BFE" w14:textId="77777777">
            <w:pPr>
              <w:rPr>
                <w:b/>
              </w:rPr>
            </w:pPr>
            <w:r>
              <w:rPr>
                <w:b/>
              </w:rPr>
              <w:t xml:space="preserve">Level of Expression of Oppression and Why you chose this </w:t>
            </w:r>
          </w:p>
        </w:tc>
        <w:tc>
          <w:tcPr>
            <w:tcW w:w="7213" w:type="dxa"/>
          </w:tcPr>
          <w:p w:rsidR="00A47308" w:rsidP="00A47308" w:rsidRDefault="00A47308" w14:paraId="3FE9F23F" w14:textId="77777777">
            <w:pPr>
              <w:rPr>
                <w:b/>
              </w:rPr>
            </w:pPr>
          </w:p>
        </w:tc>
      </w:tr>
    </w:tbl>
    <w:p w:rsidR="0098451E" w:rsidP="6A54591A" w:rsidRDefault="00F210AE" w14:paraId="6949ABCC" w14:textId="77777777">
      <w:pPr>
        <w:pBdr>
          <w:top w:val="nil"/>
          <w:left w:val="nil"/>
          <w:bottom w:val="nil"/>
          <w:right w:val="nil"/>
          <w:between w:val="nil"/>
        </w:pBdr>
        <w:spacing w:after="0" w:line="240" w:lineRule="auto"/>
        <w:rPr>
          <w:b/>
          <w:bCs/>
          <w:color w:val="514843"/>
          <w:u w:val="single"/>
        </w:rPr>
      </w:pPr>
      <w:hyperlink r:id="rId14">
        <w:r w:rsidRPr="6A54591A" w:rsidR="00EA4001">
          <w:rPr>
            <w:b/>
            <w:bCs/>
            <w:color w:val="0000FF"/>
            <w:u w:val="single"/>
          </w:rPr>
          <w:t>https://www.nydailynews.com/sports/more-sports/ny-fina-world-swimming-bans-transgender-athletes-elite-women-lia-thomas-20220619-hxjhhrmwaffapibcp3lnogy2hm-story.html</w:t>
        </w:r>
      </w:hyperlink>
      <w:r w:rsidRPr="6A54591A" w:rsidR="00EA4001">
        <w:rPr>
          <w:b/>
          <w:bCs/>
          <w:color w:val="514843"/>
          <w:u w:val="single"/>
        </w:rPr>
        <w:t xml:space="preserve"> </w:t>
      </w:r>
    </w:p>
    <w:p w:rsidR="6A54591A" w:rsidP="6A54591A" w:rsidRDefault="6A54591A" w14:paraId="46F0ABB3" w14:textId="51751961">
      <w:pPr>
        <w:spacing w:after="0" w:line="240" w:lineRule="auto"/>
        <w:rPr>
          <w:b/>
          <w:bCs/>
          <w:color w:val="514843"/>
          <w:u w:val="single"/>
        </w:rPr>
      </w:pPr>
    </w:p>
    <w:p w:rsidR="0098451E" w:rsidP="6A54591A" w:rsidRDefault="00EA4001" w14:paraId="52F57F0E" w14:textId="7CD1DE39">
      <w:pPr>
        <w:pBdr>
          <w:top w:val="nil"/>
          <w:left w:val="nil"/>
          <w:bottom w:val="nil"/>
          <w:right w:val="nil"/>
          <w:between w:val="nil"/>
        </w:pBdr>
        <w:spacing w:after="0" w:line="240" w:lineRule="auto"/>
        <w:rPr>
          <w:rFonts w:ascii="Cambria" w:hAnsi="Cambria" w:eastAsia="Cambria" w:cs="Cambria"/>
          <w:color w:val="000000" w:themeColor="text1"/>
          <w:sz w:val="24"/>
          <w:szCs w:val="24"/>
        </w:rPr>
      </w:pPr>
      <w:r w:rsidRPr="6A54591A">
        <w:rPr>
          <w:color w:val="000000" w:themeColor="text1"/>
          <w:sz w:val="24"/>
          <w:szCs w:val="24"/>
        </w:rPr>
        <w:t>Tra</w:t>
      </w:r>
      <w:r>
        <w:rPr>
          <w:noProof/>
        </w:rPr>
        <w:drawing>
          <wp:anchor distT="0" distB="0" distL="114300" distR="114300" simplePos="0" relativeHeight="251655168" behindDoc="0" locked="0" layoutInCell="1" allowOverlap="1" wp14:anchorId="7D1F9347" wp14:editId="3E9071DB">
            <wp:simplePos x="0" y="0"/>
            <wp:positionH relativeFrom="column">
              <wp:align>left</wp:align>
            </wp:positionH>
            <wp:positionV relativeFrom="paragraph">
              <wp:posOffset>0</wp:posOffset>
            </wp:positionV>
            <wp:extent cx="1327150" cy="1068705"/>
            <wp:effectExtent l="0" t="0" r="6350" b="0"/>
            <wp:wrapSquare wrapText="bothSides"/>
            <wp:docPr id="927272182" name="image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5">
                      <a:extLst>
                        <a:ext uri="{28A0092B-C50C-407E-A947-70E740481C1C}">
                          <a14:useLocalDpi xmlns:a14="http://schemas.microsoft.com/office/drawing/2010/main" val="0"/>
                        </a:ext>
                      </a:extLst>
                    </a:blip>
                    <a:stretch>
                      <a:fillRect/>
                    </a:stretch>
                  </pic:blipFill>
                  <pic:spPr>
                    <a:xfrm>
                      <a:off x="0" y="0"/>
                      <a:ext cx="1327150" cy="1068705"/>
                    </a:xfrm>
                    <a:prstGeom prst="rect">
                      <a:avLst/>
                    </a:prstGeom>
                    <a:ln/>
                  </pic:spPr>
                </pic:pic>
              </a:graphicData>
            </a:graphic>
            <wp14:sizeRelH relativeFrom="page">
              <wp14:pctWidth>0</wp14:pctWidth>
            </wp14:sizeRelH>
            <wp14:sizeRelV relativeFrom="page">
              <wp14:pctHeight>0</wp14:pctHeight>
            </wp14:sizeRelV>
          </wp:anchor>
        </w:drawing>
      </w:r>
      <w:r w:rsidRPr="6A54591A">
        <w:rPr>
          <w:color w:val="000000" w:themeColor="text1"/>
          <w:sz w:val="24"/>
          <w:szCs w:val="24"/>
        </w:rPr>
        <w:t>nsgender women have been effectively banned from competing in women’s events, swimming’s international governing body ruled Sunday.</w:t>
      </w:r>
    </w:p>
    <w:p w:rsidR="0098451E" w:rsidP="6A54591A" w:rsidRDefault="00EA4001" w14:paraId="17E82D5B" w14:textId="32DD5862">
      <w:pPr>
        <w:pBdr>
          <w:top w:val="nil"/>
          <w:left w:val="nil"/>
          <w:bottom w:val="nil"/>
          <w:right w:val="nil"/>
          <w:between w:val="nil"/>
        </w:pBdr>
        <w:spacing w:after="0" w:line="240" w:lineRule="auto"/>
        <w:rPr>
          <w:rFonts w:ascii="Cambria" w:hAnsi="Cambria" w:eastAsia="Cambria" w:cs="Cambria"/>
          <w:color w:val="000000"/>
          <w:sz w:val="24"/>
          <w:szCs w:val="24"/>
        </w:rPr>
      </w:pPr>
      <w:r w:rsidRPr="6A54591A">
        <w:rPr>
          <w:color w:val="000000" w:themeColor="text1"/>
          <w:sz w:val="24"/>
          <w:szCs w:val="24"/>
        </w:rPr>
        <w:t>In voting to restrict the participation of transgender athletes, FINA members announced a new “gender inclusion policy” that permits only swimmers who transitioned before age 12 to compete in women’s events.</w:t>
      </w:r>
    </w:p>
    <w:p w:rsidR="0098451E" w:rsidRDefault="0098451E" w14:paraId="1F72F646" w14:textId="77777777">
      <w:pPr>
        <w:pBdr>
          <w:top w:val="nil"/>
          <w:left w:val="nil"/>
          <w:bottom w:val="nil"/>
          <w:right w:val="nil"/>
          <w:between w:val="nil"/>
        </w:pBdr>
        <w:spacing w:after="0" w:line="240" w:lineRule="auto"/>
        <w:rPr>
          <w:color w:val="000000"/>
          <w:sz w:val="24"/>
          <w:szCs w:val="24"/>
        </w:rPr>
      </w:pPr>
    </w:p>
    <w:p w:rsidR="0098451E" w:rsidRDefault="00EA4001" w14:paraId="402DEC59" w14:textId="66A554F9">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Transgender rights have been a hotly debated issue in swimming after University of Pennsylvania swimmer Lia Thomas became the first transgender NCAA champion in Division I history. She won the women’s 500-yard freestyle in March, leading to some parents and competitors to complain that she had an unfair advantage.</w:t>
      </w:r>
      <w:r w:rsidR="00F210AE">
        <w:rPr>
          <w:color w:val="000000"/>
          <w:sz w:val="24"/>
          <w:szCs w:val="24"/>
        </w:rPr>
        <w:t xml:space="preserve"> </w:t>
      </w:r>
      <w:bookmarkStart w:name="_GoBack" w:id="1"/>
      <w:bookmarkEnd w:id="1"/>
      <w:r>
        <w:rPr>
          <w:color w:val="000000"/>
          <w:sz w:val="24"/>
          <w:szCs w:val="24"/>
        </w:rPr>
        <w:t>Thomas competed on the men’s team at Penn before transitioning. She competed as a woman for the first time in 2021-22 after meeting NCAA standards for competition after undergoing testosterone suppression therapy for more than two years.</w:t>
      </w:r>
    </w:p>
    <w:p w:rsidR="0098451E" w:rsidRDefault="0098451E" w14:paraId="61CDCEAD" w14:textId="59186B83">
      <w:pPr>
        <w:pBdr>
          <w:top w:val="nil"/>
          <w:left w:val="nil"/>
          <w:bottom w:val="nil"/>
          <w:right w:val="nil"/>
          <w:between w:val="nil"/>
        </w:pBdr>
        <w:spacing w:after="0" w:line="240" w:lineRule="auto"/>
        <w:rPr>
          <w:color w:val="000000"/>
          <w:sz w:val="24"/>
          <w:szCs w:val="24"/>
        </w:rPr>
      </w:pPr>
    </w:p>
    <w:p w:rsidR="0098451E" w:rsidRDefault="0098451E" w14:paraId="6BB9E253" w14:textId="77777777">
      <w:pPr>
        <w:spacing w:after="0" w:line="240" w:lineRule="auto"/>
      </w:pPr>
    </w:p>
    <w:tbl>
      <w:tblPr>
        <w:tblStyle w:val="a4"/>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5"/>
        <w:gridCol w:w="7201"/>
      </w:tblGrid>
      <w:tr w:rsidR="0098451E" w14:paraId="1EF6FC44" w14:textId="77777777">
        <w:tc>
          <w:tcPr>
            <w:tcW w:w="9926" w:type="dxa"/>
            <w:gridSpan w:val="2"/>
            <w:shd w:val="clear" w:color="auto" w:fill="514843"/>
          </w:tcPr>
          <w:p w:rsidR="0098451E" w:rsidRDefault="00EA4001" w14:paraId="4CB54D63" w14:textId="77777777">
            <w:pPr>
              <w:rPr>
                <w:b/>
              </w:rPr>
            </w:pPr>
            <w:r>
              <w:rPr>
                <w:b/>
                <w:color w:val="FFFFCC"/>
              </w:rPr>
              <w:t xml:space="preserve">Scenario #6: Personal Story </w:t>
            </w:r>
          </w:p>
        </w:tc>
      </w:tr>
      <w:tr w:rsidR="00A47308" w:rsidTr="00F654B0" w14:paraId="0AABDDB7" w14:textId="77777777">
        <w:trPr>
          <w:trHeight w:val="611"/>
        </w:trPr>
        <w:tc>
          <w:tcPr>
            <w:tcW w:w="2725" w:type="dxa"/>
            <w:shd w:val="clear" w:color="auto" w:fill="auto"/>
          </w:tcPr>
          <w:p w:rsidR="00A47308" w:rsidP="00A47308" w:rsidRDefault="00A47308" w14:paraId="7324BE21" w14:textId="77777777">
            <w:pPr>
              <w:rPr>
                <w:b/>
              </w:rPr>
            </w:pPr>
            <w:r>
              <w:rPr>
                <w:b/>
              </w:rPr>
              <w:t>Quick Summary of the Case</w:t>
            </w:r>
          </w:p>
        </w:tc>
        <w:tc>
          <w:tcPr>
            <w:tcW w:w="7201" w:type="dxa"/>
          </w:tcPr>
          <w:p w:rsidR="00A47308" w:rsidP="00A47308" w:rsidRDefault="00A47308" w14:paraId="23DE523C" w14:textId="77777777">
            <w:pPr>
              <w:rPr>
                <w:b/>
              </w:rPr>
            </w:pPr>
          </w:p>
        </w:tc>
      </w:tr>
      <w:tr w:rsidR="00A47308" w14:paraId="445552AE" w14:textId="77777777">
        <w:trPr>
          <w:trHeight w:val="611"/>
        </w:trPr>
        <w:tc>
          <w:tcPr>
            <w:tcW w:w="2725" w:type="dxa"/>
            <w:shd w:val="clear" w:color="auto" w:fill="auto"/>
          </w:tcPr>
          <w:p w:rsidR="00A47308" w:rsidP="00A47308" w:rsidRDefault="00A47308" w14:paraId="3B0BD640" w14:textId="77777777">
            <w:pPr>
              <w:rPr>
                <w:b/>
              </w:rPr>
            </w:pPr>
            <w:r>
              <w:rPr>
                <w:b/>
              </w:rPr>
              <w:t xml:space="preserve">Level of Expression of Oppression and Why you chose this </w:t>
            </w:r>
          </w:p>
        </w:tc>
        <w:tc>
          <w:tcPr>
            <w:tcW w:w="7201" w:type="dxa"/>
          </w:tcPr>
          <w:p w:rsidR="00A47308" w:rsidP="00A47308" w:rsidRDefault="00A47308" w14:paraId="52E56223" w14:textId="77777777">
            <w:pPr>
              <w:rPr>
                <w:b/>
              </w:rPr>
            </w:pPr>
          </w:p>
        </w:tc>
      </w:tr>
    </w:tbl>
    <w:p w:rsidR="0098451E" w:rsidP="79657F1A" w:rsidRDefault="00F210AE" w14:paraId="50BA4BC2" w14:textId="77777777">
      <w:pPr>
        <w:shd w:val="clear" w:color="auto" w:fill="FFFFFF" w:themeFill="background1"/>
        <w:spacing w:after="0" w:line="240" w:lineRule="auto"/>
        <w:rPr>
          <w:b/>
          <w:bCs/>
        </w:rPr>
      </w:pPr>
      <w:hyperlink r:id="rId16">
        <w:r w:rsidRPr="79657F1A" w:rsidR="00EA4001">
          <w:rPr>
            <w:b/>
            <w:bCs/>
            <w:color w:val="1155CC"/>
            <w:u w:val="single"/>
          </w:rPr>
          <w:t>https://www.glaad.org/amp/lgbtq-youth-share-stories-offer-advice-adults-to-end-bullying</w:t>
        </w:r>
      </w:hyperlink>
      <w:r w:rsidRPr="79657F1A" w:rsidR="00EA4001">
        <w:rPr>
          <w:b/>
          <w:bCs/>
        </w:rPr>
        <w:t xml:space="preserve"> </w:t>
      </w:r>
    </w:p>
    <w:p w:rsidR="00A47308" w:rsidRDefault="00A47308" w14:paraId="07547A01" w14:textId="77777777">
      <w:pPr>
        <w:shd w:val="clear" w:color="auto" w:fill="FFFFFF"/>
        <w:spacing w:after="0" w:line="240" w:lineRule="auto"/>
        <w:rPr>
          <w:b/>
        </w:rPr>
      </w:pPr>
    </w:p>
    <w:p w:rsidR="0098451E" w:rsidP="00F210AE" w:rsidRDefault="00EA4001" w14:paraId="5043CB0F" w14:textId="50955E95">
      <w:pPr>
        <w:shd w:val="clear" w:color="auto" w:fill="FFFFFF" w:themeFill="background1"/>
        <w:spacing w:after="0" w:line="240" w:lineRule="auto"/>
        <w:rPr>
          <w:sz w:val="20"/>
          <w:szCs w:val="20"/>
        </w:rPr>
      </w:pPr>
      <w:r>
        <w:t>My story: I</w:t>
      </w:r>
      <w:r>
        <w:rPr>
          <w:noProof/>
        </w:rPr>
        <w:drawing>
          <wp:anchor distT="0" distB="0" distL="114300" distR="114300" simplePos="0" relativeHeight="251656192" behindDoc="0" locked="0" layoutInCell="1" allowOverlap="1" wp14:anchorId="2ABC7CFF" wp14:editId="4E5DB030">
            <wp:simplePos x="0" y="0"/>
            <wp:positionH relativeFrom="column">
              <wp:align>left</wp:align>
            </wp:positionH>
            <wp:positionV relativeFrom="paragraph">
              <wp:posOffset>0</wp:posOffset>
            </wp:positionV>
            <wp:extent cx="1619250" cy="1609725"/>
            <wp:effectExtent l="0" t="0" r="0" b="9525"/>
            <wp:wrapSquare wrapText="bothSides"/>
            <wp:docPr id="1586540900"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7">
                      <a:extLst>
                        <a:ext uri="{28A0092B-C50C-407E-A947-70E740481C1C}">
                          <a14:useLocalDpi xmlns:a14="http://schemas.microsoft.com/office/drawing/2010/main" val="0"/>
                        </a:ext>
                      </a:extLst>
                    </a:blip>
                    <a:stretch>
                      <a:fillRect/>
                    </a:stretch>
                  </pic:blipFill>
                  <pic:spPr>
                    <a:xfrm>
                      <a:off x="0" y="0"/>
                      <a:ext cx="1619250" cy="1609725"/>
                    </a:xfrm>
                    <a:prstGeom prst="rect">
                      <a:avLst/>
                    </a:prstGeom>
                    <a:ln/>
                  </pic:spPr>
                </pic:pic>
              </a:graphicData>
            </a:graphic>
            <wp14:sizeRelH relativeFrom="page">
              <wp14:pctWidth>0</wp14:pctWidth>
            </wp14:sizeRelH>
            <wp14:sizeRelV relativeFrom="page">
              <wp14:pctHeight>0</wp14:pctHeight>
            </wp14:sizeRelV>
          </wp:anchor>
        </w:drawing>
      </w:r>
      <w:r>
        <w:t>’m a femme, gay man and since kindergarten I’ve always felt accepted by my friends. But appreciation of my outward expression didn’t reach far past my small friend group. I was bullied for being ‘too femme’ and to avoid being teased I’d deepen my voice around others. In P.E. I’d always be told that I “played like a girl” or that I was not good enough to play with the other boys because I was “too gay.” I was always being labeled as ‘too girly’ for being around so many women and also shunned from masculine groups because no one wanted to be hit on by a ‘gay boy.’ To the other boys, my mannerisms were a sort of oddity that they hoped wouldn’t catch on. Even my father advised me to “act more like a man” rather than more like myself.</w:t>
      </w:r>
    </w:p>
    <w:p w:rsidRPr="00F210AE" w:rsidR="37F8A4F7" w:rsidP="00F210AE" w:rsidRDefault="37F8A4F7" w14:paraId="6796D549" w14:textId="69DC95C2">
      <w:pPr>
        <w:pStyle w:val="Heading5"/>
        <w:keepLines w:val="0"/>
        <w:spacing w:before="0" w:after="160"/>
      </w:pPr>
      <w:r w:rsidRPr="00F210AE">
        <w:br w:type="page"/>
      </w:r>
    </w:p>
    <w:p w:rsidR="0098451E" w:rsidRDefault="0098451E" w14:paraId="07459315" w14:textId="77777777">
      <w:pPr>
        <w:pBdr>
          <w:top w:val="nil"/>
          <w:left w:val="nil"/>
          <w:bottom w:val="nil"/>
          <w:right w:val="nil"/>
          <w:between w:val="nil"/>
        </w:pBdr>
        <w:spacing w:after="0" w:line="240" w:lineRule="auto"/>
        <w:rPr>
          <w:color w:val="000000"/>
          <w:sz w:val="24"/>
          <w:szCs w:val="24"/>
        </w:rPr>
      </w:pPr>
    </w:p>
    <w:tbl>
      <w:tblPr>
        <w:tblStyle w:val="a6"/>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w:rsidR="0098451E" w14:paraId="7B6435FC" w14:textId="77777777">
        <w:tc>
          <w:tcPr>
            <w:tcW w:w="9926" w:type="dxa"/>
            <w:gridSpan w:val="2"/>
            <w:shd w:val="clear" w:color="auto" w:fill="514843"/>
          </w:tcPr>
          <w:p w:rsidR="0098451E" w:rsidRDefault="00EA4001" w14:paraId="76AC2231" w14:textId="77777777">
            <w:pPr>
              <w:rPr>
                <w:b/>
              </w:rPr>
            </w:pPr>
            <w:r>
              <w:rPr>
                <w:b/>
                <w:color w:val="FFFFCC"/>
              </w:rPr>
              <w:t>Scenario #7: Spray Paint Graffiti</w:t>
            </w:r>
          </w:p>
        </w:tc>
      </w:tr>
      <w:tr w:rsidR="00EA4001" w14:paraId="3D89D47B" w14:textId="77777777">
        <w:tc>
          <w:tcPr>
            <w:tcW w:w="2557" w:type="dxa"/>
            <w:shd w:val="clear" w:color="auto" w:fill="auto"/>
          </w:tcPr>
          <w:p w:rsidR="00EA4001" w:rsidP="00EA4001" w:rsidRDefault="00EA4001" w14:paraId="028F93E9" w14:textId="77777777">
            <w:pPr>
              <w:rPr>
                <w:b/>
              </w:rPr>
            </w:pPr>
            <w:r>
              <w:rPr>
                <w:b/>
              </w:rPr>
              <w:t>Quick Summary of the Case</w:t>
            </w:r>
          </w:p>
        </w:tc>
        <w:tc>
          <w:tcPr>
            <w:tcW w:w="7369" w:type="dxa"/>
          </w:tcPr>
          <w:p w:rsidR="00EA4001" w:rsidP="00EA4001" w:rsidRDefault="00EA4001" w14:paraId="6537F28F" w14:textId="77777777">
            <w:pPr>
              <w:rPr>
                <w:b/>
              </w:rPr>
            </w:pPr>
          </w:p>
        </w:tc>
      </w:tr>
      <w:tr w:rsidR="00EA4001" w14:paraId="09F0D299" w14:textId="77777777">
        <w:tc>
          <w:tcPr>
            <w:tcW w:w="2557" w:type="dxa"/>
            <w:shd w:val="clear" w:color="auto" w:fill="auto"/>
          </w:tcPr>
          <w:p w:rsidR="00EA4001" w:rsidP="00EA4001" w:rsidRDefault="00EA4001" w14:paraId="227E6977" w14:textId="77777777">
            <w:pPr>
              <w:rPr>
                <w:b/>
              </w:rPr>
            </w:pPr>
            <w:r>
              <w:rPr>
                <w:b/>
              </w:rPr>
              <w:t xml:space="preserve">Level of Expression of Oppression and Why you chose this </w:t>
            </w:r>
          </w:p>
        </w:tc>
        <w:tc>
          <w:tcPr>
            <w:tcW w:w="7369" w:type="dxa"/>
          </w:tcPr>
          <w:p w:rsidR="00EA4001" w:rsidP="00EA4001" w:rsidRDefault="00EA4001" w14:paraId="6DFB9E20" w14:textId="77777777">
            <w:pPr>
              <w:rPr>
                <w:b/>
              </w:rPr>
            </w:pPr>
          </w:p>
        </w:tc>
      </w:tr>
    </w:tbl>
    <w:p w:rsidR="0098451E" w:rsidRDefault="00A47308" w14:paraId="14A4600C" w14:textId="77777777">
      <w:pPr>
        <w:shd w:val="clear" w:color="auto" w:fill="FFFFFF"/>
        <w:spacing w:before="240" w:after="360" w:line="276" w:lineRule="auto"/>
        <w:rPr>
          <w:color w:val="444444"/>
        </w:rPr>
      </w:pPr>
      <w:r>
        <w:rPr>
          <w:noProof/>
          <w:sz w:val="18"/>
          <w:szCs w:val="18"/>
        </w:rPr>
        <w:drawing>
          <wp:anchor distT="0" distB="0" distL="114300" distR="114300" simplePos="0" relativeHeight="251659264" behindDoc="0" locked="0" layoutInCell="1" allowOverlap="1" wp14:anchorId="2FE3A013" wp14:editId="07777777">
            <wp:simplePos x="0" y="0"/>
            <wp:positionH relativeFrom="column">
              <wp:posOffset>-75483</wp:posOffset>
            </wp:positionH>
            <wp:positionV relativeFrom="paragraph">
              <wp:posOffset>1350010</wp:posOffset>
            </wp:positionV>
            <wp:extent cx="2495550" cy="1666875"/>
            <wp:effectExtent l="0" t="0" r="0" b="9525"/>
            <wp:wrapSquare wrapText="bothSides"/>
            <wp:docPr id="20210787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495550" cy="1666875"/>
                    </a:xfrm>
                    <a:prstGeom prst="rect">
                      <a:avLst/>
                    </a:prstGeom>
                    <a:ln/>
                  </pic:spPr>
                </pic:pic>
              </a:graphicData>
            </a:graphic>
          </wp:anchor>
        </w:drawing>
      </w:r>
      <w:hyperlink w:anchor=":~:text=Statewide%20Notice%20Archive-,Strasburg%20resident's%20home%20vandalized%20for%20second%20time,investigate%20incidents%20as%20hate%20crimes&amp;text=Paul%20Rush%2C%2027%2C%20stands%20outside,in%20the%20last%20two%20months" r:id="rId19">
        <w:r w:rsidR="00EA4001">
          <w:rPr>
            <w:color w:val="1155CC"/>
            <w:u w:val="single"/>
          </w:rPr>
          <w:t>https://www.nvdaily.com/nvdaily/strasburg-residents-home-vandalized-for-second-time-police-investigate-incidents-as-hate-crimes/article_ca7c986f-3770-5de3-91e6-05e8c1d33367.html#:~:text=Statewide%20Notice%20Archive-,Strasburg%20resident's%20home%20vandalized%20for%20second%20time,investigate%20incidents%20as%20hate%20crimes&amp;text=Paul%20Rush%2C%2027%2C%20stands%20outside,in%20the%20last%20two%20months</w:t>
        </w:r>
      </w:hyperlink>
      <w:r w:rsidR="00EA4001">
        <w:rPr>
          <w:color w:val="444444"/>
        </w:rPr>
        <w:t>.</w:t>
      </w:r>
    </w:p>
    <w:p w:rsidR="0098451E" w:rsidRDefault="00EA4001" w14:paraId="03B28317" w14:textId="77777777">
      <w:pPr>
        <w:shd w:val="clear" w:color="auto" w:fill="FFFFFF"/>
        <w:spacing w:before="240" w:after="360" w:line="276" w:lineRule="auto"/>
        <w:rPr>
          <w:color w:val="444444"/>
        </w:rPr>
      </w:pPr>
      <w:r>
        <w:rPr>
          <w:color w:val="444444"/>
        </w:rPr>
        <w:t xml:space="preserve">For the second time in two months, the home of a transgender Strasburg resident has been vandalized with spray-painted graffiti. Paul Rush, 27, of Branch Street, said that derogatory words and an obscene hand gesture were painted on their house Tuesday night. This comes after a Sept. 26 incident in which anti-LGBTQIA and anti-Black messages were spray painted on Rush’s home. On Sept. 23, Rush had displayed a pride flag to openly express being a non-binary transgender person, which means not identifying as a male or female. “Most of the time people, especially around here, tend to just disagree quietly, even if they put the occasional snarky Facebook post,” said Rush, who uses the pronouns they and their. “But that’s usually as far as it </w:t>
      </w:r>
      <w:proofErr w:type="spellStart"/>
      <w:r>
        <w:rPr>
          <w:color w:val="444444"/>
        </w:rPr>
        <w:t>goes.”Rush</w:t>
      </w:r>
      <w:proofErr w:type="spellEnd"/>
      <w:r>
        <w:rPr>
          <w:color w:val="444444"/>
        </w:rPr>
        <w:t xml:space="preserve"> said they waited until 2017 to come out as transgender to close friends because of the fear of what might happen. “This is the first time I’ve ever seen something like this,” said Rush, a lifelong Strasburg resident. Rush said they were a little worried on Tuesday because there’s generally an uptick of hateful actions against minority groups following a close election, regardless of who wins. Rush added that they stayed up “a little bit late” watching election results and if the vandals “came while we were awake, we certainly didn’t hear anything.” Although Rush said they do not have any proof, they have a gut feeling of the culprit’s identity. “Strasburg is a very small community. There’s not a lot of openly LGBT people here,” Rush said. “I believe it’s just the bigotry of just one person or maybe just a small group of people who live on this street or in this neighborhood.” Rush and their wife, who live with two cats, looked into purchasing a security camera after the first incident. They held off, however, because money was tight, Rush said.</w:t>
      </w:r>
    </w:p>
    <w:p w:rsidRPr="00F210AE" w:rsidR="00F210AE" w:rsidRDefault="00EA4001" w14:paraId="150C9C15" w14:textId="0748A9E3">
      <w:pPr>
        <w:shd w:val="clear" w:color="auto" w:fill="FFFFFF"/>
        <w:spacing w:before="240" w:after="360" w:line="276" w:lineRule="auto"/>
        <w:rPr>
          <w:color w:val="444444"/>
        </w:rPr>
      </w:pPr>
      <w:r>
        <w:rPr>
          <w:color w:val="444444"/>
        </w:rPr>
        <w:t xml:space="preserve">Strasburg Police Chief Wayne Sager said his department is “absolutely” looking into these incidents as hate crimes and is actively working to gather evidence to find the offender and successfully prosecute </w:t>
      </w:r>
      <w:proofErr w:type="spellStart"/>
      <w:r>
        <w:rPr>
          <w:color w:val="444444"/>
        </w:rPr>
        <w:t>them.“This</w:t>
      </w:r>
      <w:proofErr w:type="spellEnd"/>
      <w:r>
        <w:rPr>
          <w:color w:val="444444"/>
        </w:rPr>
        <w:t xml:space="preserve"> is devastating to all of us,” Sager said. “It is not to be tolerated, and we’re going to do our best to bring justice to Mr. Rush and his family and friends as well, the victims of this.” Although officers have contacted 81 residents and businesses in the area, Sager said the department has not identified a person of interest. “With the vulgar language and the hate things that are being targeted there to Mr. Rush’s residence, we want to make sure we do our jobs,” Sager said.</w:t>
      </w:r>
    </w:p>
    <w:p w:rsidR="0098451E" w:rsidRDefault="0098451E" w14:paraId="70DF9E56" w14:textId="77777777">
      <w:pPr>
        <w:pBdr>
          <w:top w:val="nil"/>
          <w:left w:val="nil"/>
          <w:bottom w:val="nil"/>
          <w:right w:val="nil"/>
          <w:between w:val="nil"/>
        </w:pBdr>
        <w:spacing w:after="0" w:line="240" w:lineRule="auto"/>
        <w:rPr>
          <w:b/>
          <w:sz w:val="24"/>
          <w:szCs w:val="24"/>
        </w:rPr>
      </w:pPr>
    </w:p>
    <w:tbl>
      <w:tblPr>
        <w:tblStyle w:val="a7"/>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w:rsidR="0098451E" w14:paraId="2238C8A9" w14:textId="77777777">
        <w:tc>
          <w:tcPr>
            <w:tcW w:w="9926" w:type="dxa"/>
            <w:gridSpan w:val="2"/>
            <w:shd w:val="clear" w:color="auto" w:fill="514843"/>
          </w:tcPr>
          <w:p w:rsidR="0098451E" w:rsidRDefault="00EA4001" w14:paraId="6F869CFB" w14:textId="77777777">
            <w:pPr>
              <w:rPr>
                <w:b/>
              </w:rPr>
            </w:pPr>
            <w:r>
              <w:rPr>
                <w:b/>
                <w:color w:val="FFFFCC"/>
              </w:rPr>
              <w:t>Scenario #8:  Workplace Gender Change</w:t>
            </w:r>
          </w:p>
        </w:tc>
      </w:tr>
      <w:tr w:rsidR="00EA4001" w14:paraId="51078D8E" w14:textId="77777777">
        <w:tc>
          <w:tcPr>
            <w:tcW w:w="2557" w:type="dxa"/>
            <w:shd w:val="clear" w:color="auto" w:fill="auto"/>
          </w:tcPr>
          <w:p w:rsidR="00EA4001" w:rsidP="00EA4001" w:rsidRDefault="00EA4001" w14:paraId="72D875EF" w14:textId="77777777">
            <w:pPr>
              <w:rPr>
                <w:b/>
              </w:rPr>
            </w:pPr>
            <w:r>
              <w:rPr>
                <w:b/>
              </w:rPr>
              <w:t>Quick Summary of the Case</w:t>
            </w:r>
          </w:p>
        </w:tc>
        <w:tc>
          <w:tcPr>
            <w:tcW w:w="7369" w:type="dxa"/>
          </w:tcPr>
          <w:p w:rsidR="00EA4001" w:rsidP="00EA4001" w:rsidRDefault="00EA4001" w14:paraId="44E871BC" w14:textId="77777777">
            <w:pPr>
              <w:rPr>
                <w:b/>
              </w:rPr>
            </w:pPr>
          </w:p>
        </w:tc>
      </w:tr>
      <w:tr w:rsidR="00EA4001" w14:paraId="291884ED" w14:textId="77777777">
        <w:tc>
          <w:tcPr>
            <w:tcW w:w="2557" w:type="dxa"/>
            <w:shd w:val="clear" w:color="auto" w:fill="auto"/>
          </w:tcPr>
          <w:p w:rsidR="00EA4001" w:rsidP="00EA4001" w:rsidRDefault="00EA4001" w14:paraId="0AA75C7A" w14:textId="77777777">
            <w:pPr>
              <w:rPr>
                <w:b/>
              </w:rPr>
            </w:pPr>
            <w:r>
              <w:rPr>
                <w:b/>
              </w:rPr>
              <w:t xml:space="preserve">Level of Expression of Oppression and Why you chose this </w:t>
            </w:r>
          </w:p>
        </w:tc>
        <w:tc>
          <w:tcPr>
            <w:tcW w:w="7369" w:type="dxa"/>
          </w:tcPr>
          <w:p w:rsidR="00EA4001" w:rsidP="00EA4001" w:rsidRDefault="00EA4001" w14:paraId="144A5D23" w14:textId="77777777">
            <w:pPr>
              <w:rPr>
                <w:b/>
              </w:rPr>
            </w:pPr>
          </w:p>
        </w:tc>
      </w:tr>
    </w:tbl>
    <w:p w:rsidR="0098451E" w:rsidRDefault="00A47308" w14:paraId="04BCE3AD" w14:textId="77777777">
      <w:pPr>
        <w:shd w:val="clear" w:color="auto" w:fill="FFFFFF"/>
        <w:spacing w:after="240" w:line="240" w:lineRule="auto"/>
        <w:rPr>
          <w:color w:val="0C0C0C"/>
        </w:rPr>
      </w:pPr>
      <w:r>
        <w:rPr>
          <w:noProof/>
          <w:color w:val="0C0C0C"/>
        </w:rPr>
        <w:drawing>
          <wp:anchor distT="0" distB="0" distL="114300" distR="114300" simplePos="0" relativeHeight="251660288" behindDoc="0" locked="0" layoutInCell="1" allowOverlap="1" wp14:anchorId="47741263" wp14:editId="07777777">
            <wp:simplePos x="0" y="0"/>
            <wp:positionH relativeFrom="column">
              <wp:posOffset>36052</wp:posOffset>
            </wp:positionH>
            <wp:positionV relativeFrom="paragraph">
              <wp:posOffset>418465</wp:posOffset>
            </wp:positionV>
            <wp:extent cx="3168968" cy="2110440"/>
            <wp:effectExtent l="0" t="0" r="0" b="4445"/>
            <wp:wrapSquare wrapText="bothSides"/>
            <wp:docPr id="20210787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3168968" cy="2110440"/>
                    </a:xfrm>
                    <a:prstGeom prst="rect">
                      <a:avLst/>
                    </a:prstGeom>
                    <a:ln/>
                  </pic:spPr>
                </pic:pic>
              </a:graphicData>
            </a:graphic>
          </wp:anchor>
        </w:drawing>
      </w:r>
      <w:hyperlink r:id="rId21">
        <w:r w:rsidR="00EA4001">
          <w:rPr>
            <w:color w:val="1155CC"/>
            <w:u w:val="single"/>
          </w:rPr>
          <w:t>https://www.washingtonpost.com/nation/2019/04/30/transgender-woman-wrote-letter-her-boss-it-led-her-firing-trip-supreme-court/</w:t>
        </w:r>
      </w:hyperlink>
    </w:p>
    <w:p w:rsidR="0098451E" w:rsidRDefault="00EA4001" w14:paraId="62E76195" w14:textId="77777777">
      <w:pPr>
        <w:shd w:val="clear" w:color="auto" w:fill="FFFFFF"/>
        <w:spacing w:after="240" w:line="240" w:lineRule="auto"/>
        <w:rPr>
          <w:color w:val="0C0C0C"/>
        </w:rPr>
      </w:pPr>
      <w:r>
        <w:rPr>
          <w:color w:val="0C0C0C"/>
        </w:rPr>
        <w:t>It took Aimee Stephens several months to write a letter to her boss explaining that she was a transgender woman and planned to start coming to work as her true self.</w:t>
      </w:r>
    </w:p>
    <w:p w:rsidR="0098451E" w:rsidRDefault="00EA4001" w14:paraId="27C138D8" w14:textId="77777777">
      <w:pPr>
        <w:shd w:val="clear" w:color="auto" w:fill="FFFFFF"/>
        <w:spacing w:after="240" w:line="240" w:lineRule="auto"/>
        <w:rPr>
          <w:color w:val="0C0C0C"/>
        </w:rPr>
      </w:pPr>
      <w:r>
        <w:rPr>
          <w:color w:val="0C0C0C"/>
        </w:rPr>
        <w:t xml:space="preserve">She had been working as a funeral director and embalmer for RG &amp; GR Harris Funeral Homes in Garden City, Michigan, for almost six years. </w:t>
      </w:r>
      <w:hyperlink r:id="rId22">
        <w:r>
          <w:rPr>
            <w:color w:val="1155CC"/>
            <w:u w:val="single"/>
          </w:rPr>
          <w:t>She loved her job</w:t>
        </w:r>
      </w:hyperlink>
      <w:r>
        <w:rPr>
          <w:color w:val="0C0C0C"/>
        </w:rPr>
        <w:t>, but didn’t want to hide who she was anymore.</w:t>
      </w:r>
    </w:p>
    <w:p w:rsidR="0098451E" w:rsidRDefault="00EA4001" w14:paraId="7BADC5B8" w14:textId="77777777">
      <w:pPr>
        <w:shd w:val="clear" w:color="auto" w:fill="FFFFFF"/>
        <w:spacing w:after="240" w:line="240" w:lineRule="auto"/>
        <w:rPr>
          <w:color w:val="0C0C0C"/>
        </w:rPr>
      </w:pPr>
      <w:r>
        <w:rPr>
          <w:color w:val="0C0C0C"/>
        </w:rPr>
        <w:t>She agonized over what to say in the letter, wrote several drafts and sought input from her therapist. Finally satisfied, she handed the letter to her boss in the summer of 2013.</w:t>
      </w:r>
    </w:p>
    <w:p w:rsidR="0098451E" w:rsidRDefault="00EA4001" w14:paraId="7A7004EB" w14:textId="77777777">
      <w:pPr>
        <w:shd w:val="clear" w:color="auto" w:fill="FFFFFF"/>
        <w:spacing w:after="240" w:line="240" w:lineRule="auto"/>
        <w:rPr>
          <w:color w:val="0C0C0C"/>
        </w:rPr>
      </w:pPr>
      <w:r>
        <w:rPr>
          <w:color w:val="0C0C0C"/>
        </w:rPr>
        <w:t>“He read it, he folded it up and put it in his pocket,” Stephens recalled in an interview with CNN. “And basically stood up and walked away.”</w:t>
      </w:r>
    </w:p>
    <w:p w:rsidR="0098451E" w:rsidRDefault="00EA4001" w14:paraId="11BC9D00" w14:textId="77777777">
      <w:pPr>
        <w:shd w:val="clear" w:color="auto" w:fill="FFFFFF"/>
        <w:spacing w:after="240" w:line="240" w:lineRule="auto"/>
        <w:rPr>
          <w:color w:val="0C0C0C"/>
        </w:rPr>
      </w:pPr>
      <w:r>
        <w:rPr>
          <w:color w:val="0C0C0C"/>
        </w:rPr>
        <w:t>She was fired two weeks later.</w:t>
      </w:r>
      <w:r w:rsidR="00A47308">
        <w:rPr>
          <w:color w:val="0C0C0C"/>
        </w:rPr>
        <w:t xml:space="preserve">  </w:t>
      </w:r>
      <w:r>
        <w:rPr>
          <w:color w:val="0C0C0C"/>
        </w:rPr>
        <w:t xml:space="preserve">Stephens </w:t>
      </w:r>
      <w:hyperlink r:id="rId23">
        <w:r>
          <w:rPr>
            <w:color w:val="1155CC"/>
            <w:u w:val="single"/>
          </w:rPr>
          <w:t>filed a complaint</w:t>
        </w:r>
      </w:hyperlink>
      <w:r>
        <w:rPr>
          <w:color w:val="0C0C0C"/>
        </w:rPr>
        <w:t xml:space="preserve"> with the Equal Employment Opportunity Commission, which then sued the funeral home claiming that firing Stephens for being transgender was unlawful sex discrimination based on her employer’s sex- or gender-based expectations.</w:t>
      </w:r>
    </w:p>
    <w:p w:rsidR="0098451E" w:rsidRDefault="00EA4001" w14:paraId="0F22D969" w14:textId="77777777">
      <w:pPr>
        <w:shd w:val="clear" w:color="auto" w:fill="FFFFFF"/>
        <w:spacing w:after="240" w:line="240" w:lineRule="auto"/>
        <w:rPr>
          <w:color w:val="0C0C0C"/>
        </w:rPr>
      </w:pPr>
      <w:r>
        <w:rPr>
          <w:color w:val="0C0C0C"/>
        </w:rPr>
        <w:t>“I was proposing to go from being a man in a suit to a woman in a dress and they couldn’t handle that part,” Stephens said.</w:t>
      </w:r>
    </w:p>
    <w:p w:rsidR="0098451E" w:rsidRDefault="00EA4001" w14:paraId="66686B1F" w14:textId="77777777">
      <w:pPr>
        <w:shd w:val="clear" w:color="auto" w:fill="FFFFFF"/>
        <w:spacing w:after="240" w:line="240" w:lineRule="auto"/>
        <w:rPr>
          <w:color w:val="0C0C0C"/>
        </w:rPr>
      </w:pPr>
      <w:r>
        <w:rPr>
          <w:color w:val="0C0C0C"/>
        </w:rPr>
        <w:t>Her boss stated that he fired Stephens because she “was no longer going to represent himself as a man” and “wanted to dress as a woman,”</w:t>
      </w:r>
    </w:p>
    <w:p w:rsidR="0098451E" w:rsidRDefault="0098451E" w14:paraId="738610EB" w14:textId="77777777">
      <w:pPr>
        <w:shd w:val="clear" w:color="auto" w:fill="FFFFFF"/>
        <w:spacing w:after="240" w:line="240" w:lineRule="auto"/>
        <w:rPr>
          <w:color w:val="0C0C0C"/>
        </w:rPr>
      </w:pPr>
    </w:p>
    <w:p w:rsidR="0098451E" w:rsidRDefault="0098451E" w14:paraId="637805D2" w14:textId="3DB102A1">
      <w:pPr>
        <w:pBdr>
          <w:top w:val="nil"/>
          <w:left w:val="nil"/>
          <w:bottom w:val="nil"/>
          <w:right w:val="nil"/>
          <w:between w:val="nil"/>
        </w:pBdr>
        <w:spacing w:after="0" w:line="240" w:lineRule="auto"/>
      </w:pPr>
    </w:p>
    <w:p w:rsidR="00F210AE" w:rsidRDefault="00F210AE" w14:paraId="4ABEB59A" w14:textId="1149A9FE">
      <w:pPr>
        <w:pBdr>
          <w:top w:val="nil"/>
          <w:left w:val="nil"/>
          <w:bottom w:val="nil"/>
          <w:right w:val="nil"/>
          <w:between w:val="nil"/>
        </w:pBdr>
        <w:spacing w:after="0" w:line="240" w:lineRule="auto"/>
      </w:pPr>
    </w:p>
    <w:p w:rsidR="00F210AE" w:rsidRDefault="00F210AE" w14:paraId="520B2EF8" w14:textId="1215B4B1">
      <w:pPr>
        <w:pBdr>
          <w:top w:val="nil"/>
          <w:left w:val="nil"/>
          <w:bottom w:val="nil"/>
          <w:right w:val="nil"/>
          <w:between w:val="nil"/>
        </w:pBdr>
        <w:spacing w:after="0" w:line="240" w:lineRule="auto"/>
      </w:pPr>
    </w:p>
    <w:p w:rsidR="00F210AE" w:rsidRDefault="00F210AE" w14:paraId="65C1A08C" w14:textId="5039082E">
      <w:pPr>
        <w:pBdr>
          <w:top w:val="nil"/>
          <w:left w:val="nil"/>
          <w:bottom w:val="nil"/>
          <w:right w:val="nil"/>
          <w:between w:val="nil"/>
        </w:pBdr>
        <w:spacing w:after="0" w:line="240" w:lineRule="auto"/>
      </w:pPr>
    </w:p>
    <w:p w:rsidR="00F210AE" w:rsidRDefault="00F210AE" w14:paraId="36FBA713" w14:textId="6F455FFD">
      <w:pPr>
        <w:pBdr>
          <w:top w:val="nil"/>
          <w:left w:val="nil"/>
          <w:bottom w:val="nil"/>
          <w:right w:val="nil"/>
          <w:between w:val="nil"/>
        </w:pBdr>
        <w:spacing w:after="0" w:line="240" w:lineRule="auto"/>
      </w:pPr>
    </w:p>
    <w:p w:rsidR="00F210AE" w:rsidRDefault="00F210AE" w14:paraId="53804FD1" w14:textId="7C82D5C5">
      <w:pPr>
        <w:pBdr>
          <w:top w:val="nil"/>
          <w:left w:val="nil"/>
          <w:bottom w:val="nil"/>
          <w:right w:val="nil"/>
          <w:between w:val="nil"/>
        </w:pBdr>
        <w:spacing w:after="0" w:line="240" w:lineRule="auto"/>
      </w:pPr>
    </w:p>
    <w:p w:rsidR="00F210AE" w:rsidRDefault="00F210AE" w14:paraId="424FE665" w14:textId="0E46860A">
      <w:pPr>
        <w:pBdr>
          <w:top w:val="nil"/>
          <w:left w:val="nil"/>
          <w:bottom w:val="nil"/>
          <w:right w:val="nil"/>
          <w:between w:val="nil"/>
        </w:pBdr>
        <w:spacing w:after="0" w:line="240" w:lineRule="auto"/>
      </w:pPr>
    </w:p>
    <w:p w:rsidR="00F210AE" w:rsidRDefault="00F210AE" w14:paraId="4290DCD6" w14:textId="4A74E837">
      <w:pPr>
        <w:pBdr>
          <w:top w:val="nil"/>
          <w:left w:val="nil"/>
          <w:bottom w:val="nil"/>
          <w:right w:val="nil"/>
          <w:between w:val="nil"/>
        </w:pBdr>
        <w:spacing w:after="0" w:line="240" w:lineRule="auto"/>
      </w:pPr>
    </w:p>
    <w:p w:rsidR="00F210AE" w:rsidRDefault="00F210AE" w14:paraId="01FD6418" w14:textId="77777777">
      <w:pPr>
        <w:pBdr>
          <w:top w:val="nil"/>
          <w:left w:val="nil"/>
          <w:bottom w:val="nil"/>
          <w:right w:val="nil"/>
          <w:between w:val="nil"/>
        </w:pBdr>
        <w:spacing w:after="0" w:line="240" w:lineRule="auto"/>
      </w:pPr>
    </w:p>
    <w:p w:rsidRPr="006C51D1" w:rsidR="00F210AE" w:rsidP="00F210AE" w:rsidRDefault="00F210AE" w14:paraId="6A858580" w14:textId="77777777">
      <w:pPr>
        <w:pStyle w:val="NoSpacing"/>
        <w:rPr>
          <w:rFonts w:asciiTheme="minorHAnsi" w:hAnsiTheme="minorHAnsi" w:cstheme="minorHAnsi"/>
          <w:lang w:val="en"/>
        </w:rPr>
      </w:pPr>
    </w:p>
    <w:p w:rsidRPr="006C51D1" w:rsidR="00F210AE" w:rsidP="00F210AE" w:rsidRDefault="00F210AE" w14:paraId="1F5F694D"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25"/>
        <w:gridCol w:w="7201"/>
      </w:tblGrid>
      <w:tr w:rsidRPr="006C51D1" w:rsidR="00F210AE" w:rsidTr="00233959" w14:paraId="782607E4" w14:textId="77777777">
        <w:tc>
          <w:tcPr>
            <w:tcW w:w="9926" w:type="dxa"/>
            <w:gridSpan w:val="2"/>
            <w:shd w:val="clear" w:color="auto" w:fill="514843"/>
          </w:tcPr>
          <w:p w:rsidRPr="006C51D1" w:rsidR="00F210AE" w:rsidP="00233959" w:rsidRDefault="00F210AE" w14:paraId="2A5774BC" w14:textId="6C88EC2A">
            <w:pPr>
              <w:rPr>
                <w:rFonts w:eastAsia="Times New Roman"/>
                <w:b/>
                <w:bCs/>
              </w:rPr>
            </w:pPr>
            <w:r w:rsidRPr="3C195944">
              <w:rPr>
                <w:rFonts w:eastAsia="Times New Roman"/>
                <w:b/>
                <w:bCs/>
                <w:color w:val="FFFFCC"/>
              </w:rPr>
              <w:t>Scenario</w:t>
            </w:r>
            <w:r>
              <w:rPr>
                <w:rFonts w:eastAsia="Times New Roman"/>
                <w:b/>
                <w:bCs/>
                <w:color w:val="FFFFCC"/>
              </w:rPr>
              <w:t xml:space="preserve"> #9</w:t>
            </w:r>
            <w:r w:rsidRPr="3C195944">
              <w:rPr>
                <w:rFonts w:eastAsia="Times New Roman"/>
                <w:b/>
                <w:bCs/>
                <w:color w:val="FFFFCC"/>
              </w:rPr>
              <w:t>: Biracial Boy Pushed Off Table</w:t>
            </w:r>
          </w:p>
        </w:tc>
      </w:tr>
      <w:tr w:rsidRPr="006C51D1" w:rsidR="00F210AE" w:rsidTr="00233959" w14:paraId="5AB3B5AD" w14:textId="77777777">
        <w:trPr>
          <w:trHeight w:val="611"/>
        </w:trPr>
        <w:tc>
          <w:tcPr>
            <w:tcW w:w="2725" w:type="dxa"/>
            <w:shd w:val="clear" w:color="auto" w:fill="auto"/>
          </w:tcPr>
          <w:p w:rsidRPr="1CF67D69" w:rsidR="00F210AE" w:rsidP="00F210AE" w:rsidRDefault="00F210AE" w14:paraId="6DA176BA" w14:textId="0A2CC942">
            <w:pPr>
              <w:rPr>
                <w:rFonts w:eastAsia="Times New Roman"/>
                <w:b/>
                <w:bCs/>
              </w:rPr>
            </w:pPr>
            <w:r>
              <w:rPr>
                <w:b/>
              </w:rPr>
              <w:t>Quick Summary of the Case</w:t>
            </w:r>
          </w:p>
        </w:tc>
        <w:tc>
          <w:tcPr>
            <w:tcW w:w="7201" w:type="dxa"/>
          </w:tcPr>
          <w:p w:rsidRPr="006C51D1" w:rsidR="00F210AE" w:rsidP="00F210AE" w:rsidRDefault="00F210AE" w14:paraId="6654B514" w14:textId="77777777">
            <w:pPr>
              <w:rPr>
                <w:rFonts w:eastAsia="Times New Roman" w:cstheme="minorHAnsi"/>
                <w:b/>
                <w:szCs w:val="24"/>
              </w:rPr>
            </w:pPr>
          </w:p>
        </w:tc>
      </w:tr>
      <w:tr w:rsidRPr="006C51D1" w:rsidR="00F210AE" w:rsidTr="00233959" w14:paraId="7B78197D" w14:textId="77777777">
        <w:trPr>
          <w:trHeight w:val="611"/>
        </w:trPr>
        <w:tc>
          <w:tcPr>
            <w:tcW w:w="2725" w:type="dxa"/>
            <w:shd w:val="clear" w:color="auto" w:fill="auto"/>
          </w:tcPr>
          <w:p w:rsidRPr="006C51D1" w:rsidR="00F210AE" w:rsidP="00F210AE" w:rsidRDefault="00F210AE" w14:paraId="6609AD7D" w14:textId="53E3E1F0">
            <w:pPr>
              <w:rPr>
                <w:rFonts w:eastAsia="Times New Roman"/>
                <w:b/>
                <w:bCs/>
              </w:rPr>
            </w:pPr>
            <w:r>
              <w:rPr>
                <w:b/>
              </w:rPr>
              <w:t xml:space="preserve">Level of Expression of Oppression and Why you chose this </w:t>
            </w:r>
          </w:p>
        </w:tc>
        <w:tc>
          <w:tcPr>
            <w:tcW w:w="7201" w:type="dxa"/>
          </w:tcPr>
          <w:p w:rsidRPr="006C51D1" w:rsidR="00F210AE" w:rsidP="00F210AE" w:rsidRDefault="00F210AE" w14:paraId="1C517166" w14:textId="77777777">
            <w:pPr>
              <w:rPr>
                <w:rFonts w:eastAsia="Times New Roman" w:cstheme="minorHAnsi"/>
                <w:b/>
                <w:szCs w:val="24"/>
              </w:rPr>
            </w:pPr>
          </w:p>
        </w:tc>
      </w:tr>
    </w:tbl>
    <w:p w:rsidRPr="006C51D1" w:rsidR="00F210AE" w:rsidP="00F210AE" w:rsidRDefault="00F210AE" w14:paraId="4976BC88" w14:textId="77777777">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DC9D394" wp14:editId="62C6858B">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rsidRPr="007C6458" w:rsidR="00F210AE" w:rsidP="00F210AE" w:rsidRDefault="00F210AE" w14:paraId="6B2B8B70" w14:textId="77777777">
      <w:pPr>
        <w:pStyle w:val="NoSpacing"/>
        <w:rPr>
          <w:rFonts w:asciiTheme="minorHAnsi" w:hAnsiTheme="minorHAnsi" w:cstheme="minorHAnsi"/>
          <w:sz w:val="22"/>
        </w:rPr>
      </w:pPr>
      <w:r w:rsidRPr="007C6458">
        <w:rPr>
          <w:rFonts w:asciiTheme="minorHAnsi" w:hAnsiTheme="minorHAnsi" w:cstheme="minorHAnsi"/>
          <w:sz w:val="22"/>
        </w:rPr>
        <w:t>CLAREMONT, N.H. — Teenagers in New Hampshire taunted an 8-year-old biracial boy with racial slurs and then pushed him off of a picnic table with a rope around his neck, injuring him, the boy’s family said.</w:t>
      </w:r>
    </w:p>
    <w:p w:rsidRPr="007C6458" w:rsidR="00F210AE" w:rsidP="00F210AE" w:rsidRDefault="00F210AE" w14:paraId="00914652" w14:textId="77777777">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w:history="1" r:id="rId26">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rsidRPr="007C6458" w:rsidR="00F210AE" w:rsidP="00F210AE" w:rsidRDefault="00F210AE" w14:paraId="60436A5D" w14:textId="77777777">
      <w:pPr>
        <w:pStyle w:val="NoSpacing"/>
        <w:rPr>
          <w:rFonts w:asciiTheme="minorHAnsi" w:hAnsiTheme="minorHAnsi" w:cstheme="minorHAnsi"/>
          <w:sz w:val="22"/>
        </w:rPr>
      </w:pPr>
    </w:p>
    <w:p w:rsidRPr="007C6458" w:rsidR="00F210AE" w:rsidP="00F210AE" w:rsidRDefault="00F210AE" w14:paraId="155462EE" w14:textId="77777777">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rsidRPr="007C6458" w:rsidR="00F210AE" w:rsidP="00F210AE" w:rsidRDefault="00F210AE" w14:paraId="61640E0A" w14:textId="77777777">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rsidRPr="007C6458" w:rsidR="00F210AE" w:rsidP="00F210AE" w:rsidRDefault="00F210AE" w14:paraId="567B7DB5" w14:textId="77777777">
      <w:pPr>
        <w:pStyle w:val="NoSpacing"/>
        <w:rPr>
          <w:rFonts w:asciiTheme="minorHAnsi" w:hAnsiTheme="minorHAnsi" w:cstheme="minorHAnsi"/>
          <w:sz w:val="22"/>
        </w:rPr>
      </w:pPr>
    </w:p>
    <w:p w:rsidRPr="006C51D1" w:rsidR="00F210AE" w:rsidP="00F210AE" w:rsidRDefault="00F210AE" w14:paraId="750B777C"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66"/>
        <w:gridCol w:w="7360"/>
      </w:tblGrid>
      <w:tr w:rsidRPr="006C51D1" w:rsidR="00F210AE" w:rsidTr="00233959" w14:paraId="4CA2AC53" w14:textId="77777777">
        <w:tc>
          <w:tcPr>
            <w:tcW w:w="9926" w:type="dxa"/>
            <w:gridSpan w:val="2"/>
            <w:shd w:val="clear" w:color="auto" w:fill="514843"/>
          </w:tcPr>
          <w:p w:rsidRPr="006C51D1" w:rsidR="00F210AE" w:rsidP="00233959" w:rsidRDefault="00F210AE" w14:paraId="53F3D797" w14:textId="0967CAA0">
            <w:pPr>
              <w:rPr>
                <w:rFonts w:eastAsia="Times New Roman"/>
                <w:b/>
                <w:bCs/>
              </w:rPr>
            </w:pPr>
            <w:r w:rsidRPr="3C195944">
              <w:t xml:space="preserve"> </w:t>
            </w:r>
            <w:r w:rsidRPr="3C195944">
              <w:rPr>
                <w:rFonts w:eastAsia="Times New Roman"/>
                <w:b/>
                <w:bCs/>
                <w:color w:val="FFFFCC"/>
              </w:rPr>
              <w:t>Scenario:</w:t>
            </w:r>
            <w:r>
              <w:rPr>
                <w:rFonts w:eastAsia="Times New Roman"/>
                <w:b/>
                <w:bCs/>
                <w:color w:val="FFFFCC"/>
              </w:rPr>
              <w:t xml:space="preserve"> #10</w:t>
            </w:r>
            <w:r w:rsidRPr="3C195944">
              <w:rPr>
                <w:rFonts w:eastAsia="Times New Roman"/>
                <w:b/>
                <w:bCs/>
                <w:color w:val="FFFFCC"/>
              </w:rPr>
              <w:t xml:space="preserve"> The School-To-Prison Pipeline</w:t>
            </w:r>
          </w:p>
        </w:tc>
      </w:tr>
      <w:tr w:rsidRPr="006C51D1" w:rsidR="00F210AE" w:rsidTr="00233959" w14:paraId="2C493475" w14:textId="77777777">
        <w:tc>
          <w:tcPr>
            <w:tcW w:w="2566" w:type="dxa"/>
            <w:shd w:val="clear" w:color="auto" w:fill="auto"/>
          </w:tcPr>
          <w:p w:rsidRPr="006C51D1" w:rsidR="00F210AE" w:rsidP="00F210AE" w:rsidRDefault="00F210AE" w14:paraId="17B9B848" w14:textId="79B22508">
            <w:pPr>
              <w:rPr>
                <w:rFonts w:eastAsia="Times New Roman"/>
                <w:b/>
                <w:bCs/>
              </w:rPr>
            </w:pPr>
            <w:r>
              <w:rPr>
                <w:b/>
              </w:rPr>
              <w:t>Quick Summary of the Case</w:t>
            </w:r>
          </w:p>
        </w:tc>
        <w:tc>
          <w:tcPr>
            <w:tcW w:w="7360" w:type="dxa"/>
          </w:tcPr>
          <w:p w:rsidR="00F210AE" w:rsidP="00F210AE" w:rsidRDefault="00F210AE" w14:paraId="4ADF6A9D" w14:textId="77777777">
            <w:pPr>
              <w:rPr>
                <w:rFonts w:eastAsia="Times New Roman" w:cstheme="minorHAnsi"/>
                <w:b/>
                <w:szCs w:val="24"/>
              </w:rPr>
            </w:pPr>
          </w:p>
          <w:p w:rsidRPr="006C51D1" w:rsidR="00F210AE" w:rsidP="00F210AE" w:rsidRDefault="00F210AE" w14:paraId="7809D54F" w14:textId="77777777">
            <w:pPr>
              <w:rPr>
                <w:rFonts w:eastAsia="Times New Roman" w:cstheme="minorHAnsi"/>
                <w:b/>
                <w:szCs w:val="24"/>
              </w:rPr>
            </w:pPr>
          </w:p>
        </w:tc>
      </w:tr>
      <w:tr w:rsidRPr="006C51D1" w:rsidR="00F210AE" w:rsidTr="00233959" w14:paraId="193422ED" w14:textId="77777777">
        <w:tc>
          <w:tcPr>
            <w:tcW w:w="2566" w:type="dxa"/>
            <w:shd w:val="clear" w:color="auto" w:fill="auto"/>
          </w:tcPr>
          <w:p w:rsidRPr="3C195944" w:rsidR="00F210AE" w:rsidP="00F210AE" w:rsidRDefault="00F210AE" w14:paraId="6C9DC822" w14:textId="4243A96E">
            <w:pPr>
              <w:rPr>
                <w:rFonts w:eastAsia="Times New Roman"/>
                <w:b/>
                <w:bCs/>
              </w:rPr>
            </w:pPr>
            <w:r>
              <w:rPr>
                <w:b/>
              </w:rPr>
              <w:t xml:space="preserve">Level of Expression of Oppression and Why you chose this </w:t>
            </w:r>
          </w:p>
        </w:tc>
        <w:tc>
          <w:tcPr>
            <w:tcW w:w="7360" w:type="dxa"/>
          </w:tcPr>
          <w:p w:rsidR="00F210AE" w:rsidP="00F210AE" w:rsidRDefault="00F210AE" w14:paraId="7C13A880" w14:textId="77777777">
            <w:pPr>
              <w:rPr>
                <w:rFonts w:eastAsia="Times New Roman" w:cstheme="minorHAnsi"/>
                <w:b/>
                <w:szCs w:val="24"/>
              </w:rPr>
            </w:pPr>
          </w:p>
        </w:tc>
      </w:tr>
    </w:tbl>
    <w:p w:rsidRPr="006C51D1" w:rsidR="00F210AE" w:rsidP="00F210AE" w:rsidRDefault="00F210AE" w14:paraId="0F6E309E" w14:textId="77777777">
      <w:pPr>
        <w:shd w:val="clear" w:color="auto" w:fill="FFFFFF"/>
        <w:spacing w:after="0" w:line="240" w:lineRule="auto"/>
        <w:jc w:val="center"/>
        <w:rPr>
          <w:rFonts w:eastAsia="Times New Roman" w:cstheme="minorHAnsi"/>
          <w:color w:val="737373"/>
        </w:rPr>
      </w:pPr>
    </w:p>
    <w:p w:rsidRPr="007C6458" w:rsidR="00F210AE" w:rsidP="00F210AE" w:rsidRDefault="00F210AE" w14:paraId="114BD526" w14:textId="77777777">
      <w:pPr>
        <w:pStyle w:val="NoSpacing"/>
        <w:rPr>
          <w:rFonts w:asciiTheme="minorHAnsi" w:hAnsiTheme="minorHAnsi" w:cstheme="minorHAnsi"/>
          <w:sz w:val="22"/>
        </w:rPr>
      </w:pPr>
      <w:r w:rsidRPr="007C6458">
        <w:rPr>
          <w:rFonts w:eastAsia="Times New Roman" w:asciiTheme="minorHAnsi" w:hAnsiTheme="minorHAnsi" w:cstheme="minorHAnsi"/>
          <w:noProof/>
          <w:color w:val="8B0000"/>
          <w:sz w:val="22"/>
        </w:rPr>
        <w:drawing>
          <wp:anchor distT="0" distB="0" distL="114300" distR="114300" simplePos="0" relativeHeight="251664384" behindDoc="0" locked="0" layoutInCell="1" allowOverlap="1" wp14:anchorId="74FE08D9" wp14:editId="50A6677D">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458">
        <w:rPr>
          <w:rFonts w:asciiTheme="minorHAnsi" w:hAnsiTheme="minorHAnsi" w:cstheme="minorHAnsi"/>
          <w:sz w:val="22"/>
        </w:rPr>
        <w:t>A significant number of Chicago students are pushed into the path of juvenile and adult prisons as a result of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in particular African American students, are disproportionately impacted by these punitive policies.</w:t>
      </w:r>
    </w:p>
    <w:p w:rsidRPr="007C6458" w:rsidR="00F210AE" w:rsidP="00F210AE" w:rsidRDefault="00F210AE" w14:paraId="253CCBAD" w14:textId="77777777">
      <w:pPr>
        <w:pStyle w:val="NoSpacing"/>
        <w:rPr>
          <w:rFonts w:asciiTheme="minorHAnsi" w:hAnsiTheme="minorHAnsi" w:cstheme="minorHAnsi"/>
          <w:sz w:val="22"/>
        </w:rPr>
      </w:pPr>
    </w:p>
    <w:p w:rsidRPr="007C6458" w:rsidR="00F210AE" w:rsidP="00F210AE" w:rsidRDefault="00F210AE" w14:paraId="285E8085" w14:textId="77777777">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rsidRPr="007C6458" w:rsidR="00F210AE" w:rsidP="00F210AE" w:rsidRDefault="00F210AE" w14:paraId="4C752B88" w14:textId="77777777">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rsidR="00F210AE" w:rsidP="00F210AE" w:rsidRDefault="00F210AE" w14:paraId="1ADE6688" w14:textId="61101D56">
      <w:pPr>
        <w:pStyle w:val="NoSpacing"/>
        <w:rPr>
          <w:rFonts w:asciiTheme="minorHAnsi" w:hAnsiTheme="minorHAnsi" w:cstheme="minorHAnsi"/>
        </w:rPr>
      </w:pPr>
    </w:p>
    <w:p w:rsidR="00F210AE" w:rsidP="00F210AE" w:rsidRDefault="00F210AE" w14:paraId="42425358" w14:textId="05842E6A">
      <w:pPr>
        <w:pStyle w:val="NoSpacing"/>
        <w:rPr>
          <w:rFonts w:asciiTheme="minorHAnsi" w:hAnsiTheme="minorHAnsi" w:cstheme="minorHAnsi"/>
        </w:rPr>
      </w:pPr>
    </w:p>
    <w:p w:rsidRPr="006C51D1" w:rsidR="00F210AE" w:rsidP="00F210AE" w:rsidRDefault="00F210AE" w14:paraId="3AF54B03"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965"/>
        <w:gridCol w:w="6961"/>
      </w:tblGrid>
      <w:tr w:rsidRPr="006C51D1" w:rsidR="00F210AE" w:rsidTr="00233959" w14:paraId="21B8D927" w14:textId="77777777">
        <w:tc>
          <w:tcPr>
            <w:tcW w:w="9926" w:type="dxa"/>
            <w:gridSpan w:val="2"/>
            <w:shd w:val="clear" w:color="auto" w:fill="514843"/>
          </w:tcPr>
          <w:p w:rsidRPr="006C51D1" w:rsidR="00F210AE" w:rsidP="00233959" w:rsidRDefault="00F210AE" w14:paraId="71854BC6" w14:textId="7F48E928">
            <w:pPr>
              <w:rPr>
                <w:rFonts w:eastAsia="Times New Roman"/>
                <w:b/>
                <w:bCs/>
              </w:rPr>
            </w:pPr>
            <w:r w:rsidRPr="3C195944">
              <w:rPr>
                <w:rFonts w:eastAsia="Times New Roman"/>
                <w:b/>
                <w:bCs/>
                <w:color w:val="FFFFCC"/>
              </w:rPr>
              <w:t xml:space="preserve">Scenario </w:t>
            </w:r>
            <w:r>
              <w:rPr>
                <w:rFonts w:eastAsia="Times New Roman"/>
                <w:b/>
                <w:bCs/>
                <w:color w:val="FFFFCC"/>
              </w:rPr>
              <w:t>#11</w:t>
            </w:r>
            <w:r w:rsidRPr="3C195944">
              <w:rPr>
                <w:rFonts w:eastAsia="Times New Roman"/>
                <w:b/>
                <w:bCs/>
                <w:color w:val="FFFFCC"/>
              </w:rPr>
              <w:t>: Doorway To A Better Life?</w:t>
            </w:r>
          </w:p>
        </w:tc>
      </w:tr>
      <w:tr w:rsidRPr="006C51D1" w:rsidR="00F210AE" w:rsidTr="00233959" w14:paraId="00A95B1B" w14:textId="77777777">
        <w:tc>
          <w:tcPr>
            <w:tcW w:w="2965" w:type="dxa"/>
            <w:shd w:val="clear" w:color="auto" w:fill="auto"/>
          </w:tcPr>
          <w:p w:rsidRPr="006C51D1" w:rsidR="00F210AE" w:rsidP="00F210AE" w:rsidRDefault="00F210AE" w14:paraId="4B6F6823" w14:textId="20F47896">
            <w:pPr>
              <w:rPr>
                <w:rFonts w:eastAsia="Times New Roman" w:cstheme="minorHAnsi"/>
                <w:b/>
                <w:szCs w:val="24"/>
              </w:rPr>
            </w:pPr>
            <w:r>
              <w:rPr>
                <w:b/>
              </w:rPr>
              <w:t>Quick Summary of the Case</w:t>
            </w:r>
          </w:p>
        </w:tc>
        <w:tc>
          <w:tcPr>
            <w:tcW w:w="6961" w:type="dxa"/>
          </w:tcPr>
          <w:p w:rsidR="00F210AE" w:rsidP="00F210AE" w:rsidRDefault="00F210AE" w14:paraId="0BFADEAF" w14:textId="77777777">
            <w:pPr>
              <w:rPr>
                <w:rFonts w:eastAsia="Times New Roman" w:cstheme="minorHAnsi"/>
                <w:b/>
                <w:szCs w:val="24"/>
              </w:rPr>
            </w:pPr>
          </w:p>
          <w:p w:rsidRPr="006C51D1" w:rsidR="00F210AE" w:rsidP="00F210AE" w:rsidRDefault="00F210AE" w14:paraId="323D9C7E" w14:textId="77777777">
            <w:pPr>
              <w:rPr>
                <w:rFonts w:eastAsia="Times New Roman" w:cstheme="minorHAnsi"/>
                <w:b/>
                <w:szCs w:val="24"/>
              </w:rPr>
            </w:pPr>
          </w:p>
        </w:tc>
      </w:tr>
      <w:tr w:rsidRPr="006C51D1" w:rsidR="00F210AE" w:rsidTr="00233959" w14:paraId="36C5E7FA" w14:textId="77777777">
        <w:tc>
          <w:tcPr>
            <w:tcW w:w="2965" w:type="dxa"/>
            <w:shd w:val="clear" w:color="auto" w:fill="auto"/>
          </w:tcPr>
          <w:p w:rsidRPr="006C51D1" w:rsidR="00F210AE" w:rsidP="00F210AE" w:rsidRDefault="00F210AE" w14:paraId="7AA69D6B" w14:textId="5DC2CF7B">
            <w:pPr>
              <w:rPr>
                <w:rFonts w:eastAsia="Times New Roman" w:cstheme="minorHAnsi"/>
                <w:b/>
                <w:szCs w:val="24"/>
              </w:rPr>
            </w:pPr>
            <w:r>
              <w:rPr>
                <w:b/>
              </w:rPr>
              <w:t xml:space="preserve">Level of Expression of Oppression and Why you chose this </w:t>
            </w:r>
          </w:p>
        </w:tc>
        <w:tc>
          <w:tcPr>
            <w:tcW w:w="6961" w:type="dxa"/>
          </w:tcPr>
          <w:p w:rsidR="00F210AE" w:rsidP="00F210AE" w:rsidRDefault="00F210AE" w14:paraId="64F2196A" w14:textId="77777777">
            <w:pPr>
              <w:rPr>
                <w:rFonts w:eastAsia="Times New Roman" w:cstheme="minorHAnsi"/>
                <w:b/>
                <w:szCs w:val="24"/>
              </w:rPr>
            </w:pPr>
          </w:p>
        </w:tc>
      </w:tr>
    </w:tbl>
    <w:p w:rsidR="00F210AE" w:rsidP="00F210AE" w:rsidRDefault="00F210AE" w14:paraId="7C18B94D" w14:textId="77777777">
      <w:pPr>
        <w:pStyle w:val="NoSpacing"/>
        <w:rPr>
          <w:rFonts w:asciiTheme="minorHAnsi" w:hAnsiTheme="minorHAnsi" w:cstheme="minorHAnsi"/>
          <w:sz w:val="22"/>
          <w:lang w:val="en"/>
        </w:rPr>
      </w:pPr>
    </w:p>
    <w:p w:rsidRPr="002F4282" w:rsidR="00F210AE" w:rsidP="731D210D" w:rsidRDefault="00F210AE" w14:paraId="5B89BC67" w14:textId="77777777" w14:noSpellErr="1">
      <w:pPr>
        <w:pStyle w:val="NoSpacing"/>
        <w:rPr>
          <w:rFonts w:ascii="Calibri" w:hAnsi="Calibri" w:eastAsia="Times New Roman" w:cs="Calibri" w:asciiTheme="minorAscii" w:hAnsiTheme="minorAscii" w:cstheme="minorAscii"/>
          <w:sz w:val="22"/>
          <w:szCs w:val="22"/>
          <w:lang w:val="en-US"/>
        </w:rPr>
      </w:pPr>
      <w:r w:rsidRPr="006C51D1">
        <w:rPr>
          <w:rFonts w:asciiTheme="minorHAnsi" w:hAnsiTheme="minorHAnsi" w:cstheme="minorHAnsi"/>
          <w:noProof/>
        </w:rPr>
        <w:drawing>
          <wp:anchor distT="0" distB="0" distL="114300" distR="114300" simplePos="0" relativeHeight="251665408" behindDoc="0" locked="0" layoutInCell="1" allowOverlap="1" wp14:anchorId="1ADD0D97" wp14:editId="2D5F11E7">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731D210D" w:rsidR="00F210AE">
        <w:rPr>
          <w:rFonts w:ascii="Calibri" w:hAnsi="Calibri" w:cs="Calibri" w:asciiTheme="minorAscii" w:hAnsiTheme="minorAscii" w:cstheme="minorAscii"/>
          <w:sz w:val="22"/>
          <w:szCs w:val="22"/>
          <w:lang w:val="en-US"/>
        </w:rPr>
        <w:t xml:space="preserve">A state government agency </w:t>
      </w:r>
      <w:r w:rsidRPr="731D210D" w:rsidR="00F210AE">
        <w:rPr>
          <w:rFonts w:ascii="Calibri" w:hAnsi="Calibri" w:cs="Calibri" w:asciiTheme="minorAscii" w:hAnsiTheme="minorAscii" w:cstheme="minorAscii"/>
          <w:sz w:val="22"/>
          <w:szCs w:val="22"/>
          <w:lang w:val="en-US"/>
        </w:rPr>
        <w:t xml:space="preserve">decides</w:t>
      </w:r>
      <w:r w:rsidRPr="731D210D" w:rsidR="00F210AE">
        <w:rPr>
          <w:rFonts w:ascii="Calibri" w:hAnsi="Calibri" w:cs="Calibri" w:asciiTheme="minorAscii" w:hAnsiTheme="minorAscii" w:cstheme="minorAscii"/>
          <w:sz w:val="22"/>
          <w:szCs w:val="22"/>
          <w:lang w:val="en-US"/>
        </w:rPr>
        <w:t xml:space="preserve"> that low-income housing must be built, which will house low-income Blacks and Latinos. The agency </w:t>
      </w:r>
      <w:r w:rsidRPr="731D210D" w:rsidR="00F210AE">
        <w:rPr>
          <w:rFonts w:ascii="Calibri" w:hAnsi="Calibri" w:cs="Calibri" w:asciiTheme="minorAscii" w:hAnsiTheme="minorAscii" w:cstheme="minorAscii"/>
          <w:sz w:val="22"/>
          <w:szCs w:val="22"/>
          <w:lang w:val="en-US"/>
        </w:rPr>
        <w:t xml:space="preserve">fails to</w:t>
      </w:r>
      <w:r w:rsidRPr="731D210D" w:rsidR="00F210AE">
        <w:rPr>
          <w:rFonts w:ascii="Calibri" w:hAnsi="Calibri" w:cs="Calibri" w:asciiTheme="minorAscii" w:hAnsiTheme="minorAscii" w:cstheme="minorAscii"/>
          <w:sz w:val="22"/>
          <w:szCs w:val="22"/>
          <w:lang w:val="en-US"/>
        </w:rPr>
        <w:t xml:space="preserve"> look for locations near jobs and important infrastructures, like schools, decent public transportation, and other services. In fact, it is built in a poor, mostly Black and Latino part of town. </w:t>
      </w:r>
    </w:p>
    <w:p w:rsidRPr="002F4282" w:rsidR="00F210AE" w:rsidP="00F210AE" w:rsidRDefault="00F210AE" w14:paraId="4E0DA358" w14:textId="77777777">
      <w:pPr>
        <w:pStyle w:val="NoSpacing"/>
        <w:rPr>
          <w:rFonts w:asciiTheme="minorHAnsi" w:hAnsiTheme="minorHAnsi" w:cstheme="minorHAnsi"/>
          <w:sz w:val="22"/>
          <w:lang w:val="en"/>
        </w:rPr>
      </w:pPr>
    </w:p>
    <w:p w:rsidRPr="002F4282" w:rsidR="00F210AE" w:rsidP="731D210D" w:rsidRDefault="00F210AE" w14:paraId="7C403E55" w14:textId="77777777" w14:noSpellErr="1">
      <w:pPr>
        <w:pStyle w:val="NoSpacing"/>
        <w:rPr>
          <w:rFonts w:ascii="Calibri" w:hAnsi="Calibri" w:cs="Calibri" w:asciiTheme="minorAscii" w:hAnsiTheme="minorAscii" w:cstheme="minorAscii"/>
          <w:sz w:val="22"/>
          <w:szCs w:val="22"/>
          <w:lang w:val="en-US"/>
        </w:rPr>
      </w:pPr>
      <w:r w:rsidRPr="731D210D" w:rsidR="00F210AE">
        <w:rPr>
          <w:rFonts w:ascii="Calibri" w:hAnsi="Calibri" w:cs="Calibri" w:asciiTheme="minorAscii" w:hAnsiTheme="minorAscii" w:cstheme="minorAscii"/>
          <w:sz w:val="22"/>
          <w:szCs w:val="22"/>
          <w:lang w:val="en-US"/>
        </w:rPr>
        <w:t>Often times the government locates the housing where it will have the least opposition.</w:t>
      </w:r>
      <w:r w:rsidRPr="731D210D" w:rsidR="00F210AE">
        <w:rPr>
          <w:rFonts w:ascii="Calibri" w:hAnsi="Calibri" w:cs="Calibri" w:asciiTheme="minorAscii" w:hAnsiTheme="minorAscii" w:cstheme="minorAscii"/>
          <w:sz w:val="22"/>
          <w:szCs w:val="22"/>
          <w:lang w:val="en-US"/>
        </w:rPr>
        <w:t xml:space="preserve"> White </w:t>
      </w:r>
      <w:r w:rsidRPr="731D210D" w:rsidR="00F210AE">
        <w:rPr>
          <w:rFonts w:ascii="Calibri" w:hAnsi="Calibri" w:cs="Calibri" w:asciiTheme="minorAscii" w:hAnsiTheme="minorAscii" w:cstheme="minorAscii"/>
          <w:sz w:val="22"/>
          <w:szCs w:val="22"/>
          <w:lang w:val="en-US"/>
        </w:rPr>
        <w:t>neighborhoods</w:t>
      </w:r>
      <w:r w:rsidRPr="731D210D" w:rsidR="00F210AE">
        <w:rPr>
          <w:rFonts w:ascii="Calibri" w:hAnsi="Calibri" w:cs="Calibri" w:asciiTheme="minorAscii" w:hAnsiTheme="minorAscii" w:cstheme="minorAscii"/>
          <w:sz w:val="22"/>
          <w:szCs w:val="22"/>
          <w:lang w:val="en-US"/>
        </w:rPr>
        <w:t xml:space="preserve"> tend to oppose public and affordable housing. Resources, whether public or private, often follow whites who flee urban problems for white suburbs</w:t>
      </w:r>
      <w:r w:rsidRPr="731D210D" w:rsidR="00F210AE">
        <w:rPr>
          <w:rFonts w:ascii="Calibri" w:hAnsi="Calibri" w:cs="Calibri" w:asciiTheme="minorAscii" w:hAnsiTheme="minorAscii" w:cstheme="minorAscii"/>
          <w:sz w:val="22"/>
          <w:szCs w:val="22"/>
          <w:lang w:val="en-US"/>
        </w:rPr>
        <w:t xml:space="preserve"> </w:t>
      </w:r>
      <w:r w:rsidRPr="731D210D" w:rsidR="00F210AE">
        <w:rPr>
          <w:rFonts w:ascii="Calibri" w:hAnsi="Calibri" w:cs="Calibri" w:asciiTheme="minorAscii" w:hAnsiTheme="minorAscii" w:cstheme="minorAscii"/>
          <w:sz w:val="22"/>
          <w:szCs w:val="22"/>
          <w:lang w:val="en-US"/>
        </w:rPr>
        <w:t>When</w:t>
      </w:r>
      <w:r w:rsidRPr="731D210D" w:rsidR="00F210AE">
        <w:rPr>
          <w:rFonts w:ascii="Calibri" w:hAnsi="Calibri" w:cs="Calibri" w:asciiTheme="minorAscii" w:hAnsiTheme="minorAscii" w:cstheme="minorAscii"/>
          <w:sz w:val="22"/>
          <w:szCs w:val="22"/>
          <w:lang w:val="en-US"/>
        </w:rPr>
        <w:t xml:space="preserve"> the housing is built, the school district, already under-funded, has new residents too poor to contribute to its tax base. The local government spends its limited resources on transportation to connect </w:t>
      </w:r>
      <w:r w:rsidRPr="731D210D" w:rsidR="00F210AE">
        <w:rPr>
          <w:rFonts w:ascii="Calibri" w:hAnsi="Calibri" w:cs="Calibri" w:asciiTheme="minorAscii" w:hAnsiTheme="minorAscii" w:cstheme="minorAscii"/>
          <w:sz w:val="22"/>
          <w:szCs w:val="22"/>
          <w:lang w:val="en-US"/>
        </w:rPr>
        <w:t>largely white</w:t>
      </w:r>
      <w:r w:rsidRPr="731D210D" w:rsidR="00F210AE">
        <w:rPr>
          <w:rFonts w:ascii="Calibri" w:hAnsi="Calibri" w:cs="Calibri" w:asciiTheme="minorAscii" w:hAnsiTheme="minorAscii" w:cstheme="minorAscii"/>
          <w:sz w:val="22"/>
          <w:szCs w:val="22"/>
          <w:lang w:val="en-US"/>
        </w:rPr>
        <w:t xml:space="preserve">, well-to-do suburban commuters to their downtown jobs. </w:t>
      </w:r>
    </w:p>
    <w:p w:rsidRPr="002F4282" w:rsidR="00F210AE" w:rsidP="00F210AE" w:rsidRDefault="00F210AE" w14:paraId="47A43B24" w14:textId="77777777">
      <w:pPr>
        <w:pStyle w:val="NoSpacing"/>
        <w:rPr>
          <w:rFonts w:asciiTheme="minorHAnsi" w:hAnsiTheme="minorHAnsi" w:cstheme="minorHAnsi"/>
          <w:sz w:val="22"/>
          <w:lang w:val="en"/>
        </w:rPr>
      </w:pPr>
    </w:p>
    <w:p w:rsidRPr="00F210AE" w:rsidR="00F210AE" w:rsidP="731D210D" w:rsidRDefault="00F210AE" w14:paraId="67C72768" w14:textId="100A1916" w14:noSpellErr="1">
      <w:pPr>
        <w:pStyle w:val="NoSpacing"/>
        <w:rPr>
          <w:rFonts w:ascii="Calibri" w:hAnsi="Calibri" w:eastAsia="Times New Roman" w:cs="Calibri" w:asciiTheme="minorAscii" w:hAnsiTheme="minorAscii" w:cstheme="minorAscii"/>
          <w:sz w:val="22"/>
          <w:szCs w:val="22"/>
          <w:lang w:val="en-US"/>
        </w:rPr>
      </w:pPr>
      <w:r w:rsidRPr="731D210D" w:rsidR="00F210AE">
        <w:rPr>
          <w:rFonts w:ascii="Calibri" w:hAnsi="Calibri" w:cs="Calibri" w:asciiTheme="minorAscii" w:hAnsiTheme="minorAscii" w:cstheme="minorAscii"/>
          <w:sz w:val="22"/>
          <w:szCs w:val="22"/>
          <w:lang w:val="en-US"/>
        </w:rPr>
        <w:t xml:space="preserve">The public housing residents are left isolated, in under-funded schools, with no transportation to job centers. Whole communities of people of color lose opportunities for a good education, quality housing, living wage jobs, </w:t>
      </w:r>
      <w:r w:rsidRPr="731D210D" w:rsidR="00F210AE">
        <w:rPr>
          <w:rFonts w:ascii="Calibri" w:hAnsi="Calibri" w:cs="Calibri" w:asciiTheme="minorAscii" w:hAnsiTheme="minorAscii" w:cstheme="minorAscii"/>
          <w:sz w:val="22"/>
          <w:szCs w:val="22"/>
          <w:lang w:val="en-US"/>
        </w:rPr>
        <w:t>services</w:t>
      </w:r>
      <w:r w:rsidRPr="731D210D" w:rsidR="00F210AE">
        <w:rPr>
          <w:rFonts w:ascii="Calibri" w:hAnsi="Calibri" w:cs="Calibri" w:asciiTheme="minorAscii" w:hAnsiTheme="minorAscii" w:cstheme="minorAscii"/>
          <w:sz w:val="22"/>
          <w:szCs w:val="22"/>
          <w:lang w:val="en-US"/>
        </w:rPr>
        <w:t xml:space="preserve"> and support-systems.</w:t>
      </w:r>
      <w:r w:rsidRPr="731D210D" w:rsidR="00F210AE">
        <w:rPr>
          <w:rFonts w:ascii="Calibri" w:hAnsi="Calibri" w:cs="Calibri" w:asciiTheme="minorAscii" w:hAnsiTheme="minorAscii" w:cstheme="minorAscii"/>
          <w:sz w:val="22"/>
          <w:szCs w:val="22"/>
          <w:lang w:val="en-US"/>
        </w:rPr>
        <w:t xml:space="preserve"> </w:t>
      </w:r>
      <w:r w:rsidRPr="731D210D" w:rsidR="00F210AE">
        <w:rPr>
          <w:rFonts w:ascii="Calibri" w:hAnsi="Calibri" w:eastAsia="Times New Roman" w:cs="Calibri" w:asciiTheme="minorAscii" w:hAnsiTheme="minorAscii" w:cstheme="minorAscii"/>
          <w:sz w:val="22"/>
          <w:szCs w:val="22"/>
          <w:lang w:val="en-US"/>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rsidR="00F210AE" w:rsidP="00F210AE" w:rsidRDefault="00F210AE" w14:paraId="7E7B0CEE" w14:textId="51ABF02F">
      <w:pPr>
        <w:pStyle w:val="NoSpacing"/>
        <w:rPr>
          <w:rFonts w:asciiTheme="minorHAnsi" w:hAnsiTheme="minorHAnsi" w:cstheme="minorHAnsi"/>
          <w:b/>
          <w:sz w:val="22"/>
        </w:rPr>
      </w:pPr>
    </w:p>
    <w:p w:rsidR="00F210AE" w:rsidP="00F210AE" w:rsidRDefault="00F210AE" w14:paraId="4C2A204D" w14:textId="07261307">
      <w:pPr>
        <w:pStyle w:val="NoSpacing"/>
        <w:rPr>
          <w:rFonts w:asciiTheme="minorHAnsi" w:hAnsiTheme="minorHAnsi" w:cstheme="minorHAnsi"/>
          <w:b/>
          <w:sz w:val="22"/>
        </w:rPr>
      </w:pPr>
    </w:p>
    <w:p w:rsidR="00F210AE" w:rsidP="00F210AE" w:rsidRDefault="00F210AE" w14:paraId="5AB499FB" w14:textId="5D8412FD">
      <w:pPr>
        <w:pStyle w:val="NoSpacing"/>
        <w:rPr>
          <w:rFonts w:asciiTheme="minorHAnsi" w:hAnsiTheme="minorHAnsi" w:cstheme="minorHAnsi"/>
          <w:b/>
          <w:sz w:val="22"/>
        </w:rPr>
      </w:pPr>
    </w:p>
    <w:p w:rsidRPr="00BF056F" w:rsidR="00F210AE" w:rsidP="00F210AE" w:rsidRDefault="00F210AE" w14:paraId="36D14A93" w14:textId="7B2C1B93">
      <w:pPr>
        <w:pStyle w:val="NoSpacing"/>
        <w:rPr>
          <w:rFonts w:asciiTheme="minorHAnsi" w:hAnsiTheme="minorHAnsi" w:cstheme="minorHAnsi"/>
          <w:b/>
        </w:rPr>
      </w:pPr>
    </w:p>
    <w:tbl>
      <w:tblPr>
        <w:tblStyle w:val="TableGrid"/>
        <w:tblW w:w="0" w:type="auto"/>
        <w:tblLook w:val="04A0" w:firstRow="1" w:lastRow="0" w:firstColumn="1" w:lastColumn="0" w:noHBand="0" w:noVBand="1"/>
      </w:tblPr>
      <w:tblGrid>
        <w:gridCol w:w="2965"/>
        <w:gridCol w:w="6961"/>
      </w:tblGrid>
      <w:tr w:rsidRPr="006C51D1" w:rsidR="00F210AE" w:rsidTr="00233959" w14:paraId="52A528E5" w14:textId="77777777">
        <w:tc>
          <w:tcPr>
            <w:tcW w:w="9926" w:type="dxa"/>
            <w:gridSpan w:val="2"/>
            <w:shd w:val="clear" w:color="auto" w:fill="514843"/>
          </w:tcPr>
          <w:p w:rsidRPr="006C51D1" w:rsidR="00F210AE" w:rsidP="00F210AE" w:rsidRDefault="00F210AE" w14:paraId="13BCF239" w14:textId="3F95EA01">
            <w:pPr>
              <w:rPr>
                <w:rFonts w:eastAsia="Times New Roman"/>
                <w:b/>
                <w:bCs/>
              </w:rPr>
            </w:pPr>
            <w:r w:rsidRPr="3C195944">
              <w:rPr>
                <w:rFonts w:eastAsia="Times New Roman"/>
                <w:b/>
                <w:bCs/>
                <w:color w:val="FFFFCC"/>
              </w:rPr>
              <w:t xml:space="preserve">Scenario </w:t>
            </w:r>
            <w:r>
              <w:rPr>
                <w:rFonts w:eastAsia="Times New Roman"/>
                <w:b/>
                <w:bCs/>
                <w:color w:val="FFFFCC"/>
              </w:rPr>
              <w:t>#12: The Doll Case</w:t>
            </w:r>
          </w:p>
        </w:tc>
      </w:tr>
      <w:tr w:rsidRPr="006C51D1" w:rsidR="00F210AE" w:rsidTr="00233959" w14:paraId="1989CF22" w14:textId="77777777">
        <w:tc>
          <w:tcPr>
            <w:tcW w:w="2965" w:type="dxa"/>
            <w:shd w:val="clear" w:color="auto" w:fill="auto"/>
          </w:tcPr>
          <w:p w:rsidRPr="006C51D1" w:rsidR="00F210AE" w:rsidP="00233959" w:rsidRDefault="00F210AE" w14:paraId="251EB385" w14:textId="77777777">
            <w:pPr>
              <w:rPr>
                <w:rFonts w:eastAsia="Times New Roman" w:cstheme="minorHAnsi"/>
                <w:b/>
                <w:szCs w:val="24"/>
              </w:rPr>
            </w:pPr>
            <w:r>
              <w:rPr>
                <w:b/>
              </w:rPr>
              <w:t>Quick Summary of the Case</w:t>
            </w:r>
          </w:p>
        </w:tc>
        <w:tc>
          <w:tcPr>
            <w:tcW w:w="6961" w:type="dxa"/>
          </w:tcPr>
          <w:p w:rsidR="00F210AE" w:rsidP="00233959" w:rsidRDefault="00F210AE" w14:paraId="25D9BAB4" w14:textId="77777777">
            <w:pPr>
              <w:rPr>
                <w:rFonts w:eastAsia="Times New Roman" w:cstheme="minorHAnsi"/>
                <w:b/>
                <w:szCs w:val="24"/>
              </w:rPr>
            </w:pPr>
          </w:p>
          <w:p w:rsidRPr="006C51D1" w:rsidR="00F210AE" w:rsidP="00233959" w:rsidRDefault="00F210AE" w14:paraId="2CDC4683" w14:textId="77777777">
            <w:pPr>
              <w:rPr>
                <w:rFonts w:eastAsia="Times New Roman" w:cstheme="minorHAnsi"/>
                <w:b/>
                <w:szCs w:val="24"/>
              </w:rPr>
            </w:pPr>
          </w:p>
        </w:tc>
      </w:tr>
      <w:tr w:rsidRPr="006C51D1" w:rsidR="00F210AE" w:rsidTr="00233959" w14:paraId="1C44C394" w14:textId="77777777">
        <w:tc>
          <w:tcPr>
            <w:tcW w:w="2965" w:type="dxa"/>
            <w:shd w:val="clear" w:color="auto" w:fill="auto"/>
          </w:tcPr>
          <w:p w:rsidRPr="006C51D1" w:rsidR="00F210AE" w:rsidP="00233959" w:rsidRDefault="00F210AE" w14:paraId="56DC0006" w14:textId="77777777">
            <w:pPr>
              <w:rPr>
                <w:rFonts w:eastAsia="Times New Roman" w:cstheme="minorHAnsi"/>
                <w:b/>
                <w:szCs w:val="24"/>
              </w:rPr>
            </w:pPr>
            <w:r>
              <w:rPr>
                <w:b/>
              </w:rPr>
              <w:t xml:space="preserve">Level of Expression of Oppression and Why you chose this </w:t>
            </w:r>
          </w:p>
        </w:tc>
        <w:tc>
          <w:tcPr>
            <w:tcW w:w="6961" w:type="dxa"/>
          </w:tcPr>
          <w:p w:rsidR="00F210AE" w:rsidP="00233959" w:rsidRDefault="00F210AE" w14:paraId="50F9DA9E" w14:textId="77777777">
            <w:pPr>
              <w:rPr>
                <w:rFonts w:eastAsia="Times New Roman" w:cstheme="minorHAnsi"/>
                <w:b/>
                <w:szCs w:val="24"/>
              </w:rPr>
            </w:pPr>
          </w:p>
        </w:tc>
      </w:tr>
    </w:tbl>
    <w:p w:rsidRPr="006C51D1" w:rsidR="00F210AE" w:rsidP="731D210D" w:rsidRDefault="00F210AE" w14:paraId="3A6D57DF" w14:textId="6782E4E5" w14:noSpellErr="1">
      <w:pPr>
        <w:spacing w:after="0" w:line="240" w:lineRule="auto"/>
        <w:rPr>
          <w:rFonts w:ascii="Calibri" w:hAnsi="Calibri" w:cs="Calibri" w:asciiTheme="minorAscii" w:hAnsiTheme="minorAscii" w:cstheme="minorAscii"/>
          <w:lang w:val="en-US"/>
        </w:rPr>
      </w:pPr>
      <w:r w:rsidRPr="006C51D1">
        <w:rPr>
          <w:rFonts w:cstheme="minorHAnsi"/>
          <w:noProof/>
          <w:color w:val="666666"/>
          <w:sz w:val="20"/>
          <w:szCs w:val="20"/>
        </w:rPr>
        <w:drawing>
          <wp:anchor distT="0" distB="0" distL="114300" distR="114300" simplePos="0" relativeHeight="251667456" behindDoc="0" locked="0" layoutInCell="1" allowOverlap="1" wp14:anchorId="3585D236" wp14:editId="6FB29579">
            <wp:simplePos x="0" y="0"/>
            <wp:positionH relativeFrom="margin">
              <wp:posOffset>-56515</wp:posOffset>
            </wp:positionH>
            <wp:positionV relativeFrom="paragraph">
              <wp:posOffset>116148</wp:posOffset>
            </wp:positionV>
            <wp:extent cx="1589405" cy="2145030"/>
            <wp:effectExtent l="0" t="0" r="0" b="7620"/>
            <wp:wrapSquare wrapText="bothSides"/>
            <wp:docPr id="12" name="Picture 12" descr="Black boy choosing white doll over black d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lack boy choosing white doll over black dol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89405" cy="2145030"/>
                    </a:xfrm>
                    <a:prstGeom prst="rect">
                      <a:avLst/>
                    </a:prstGeom>
                    <a:noFill/>
                    <a:ln>
                      <a:noFill/>
                    </a:ln>
                  </pic:spPr>
                </pic:pic>
              </a:graphicData>
            </a:graphic>
            <wp14:sizeRelH relativeFrom="page">
              <wp14:pctWidth>0</wp14:pctWidth>
            </wp14:sizeRelH>
            <wp14:sizeRelV relativeFrom="page">
              <wp14:pctHeight>0</wp14:pctHeight>
            </wp14:sizeRelV>
          </wp:anchor>
        </w:drawing>
      </w:r>
      <w:r w:rsidRPr="731D210D" w:rsidR="00F210AE">
        <w:rPr>
          <w:rFonts w:ascii="Calibri" w:hAnsi="Calibri" w:cs="Calibri" w:asciiTheme="minorAscii" w:hAnsiTheme="minorAscii" w:cstheme="minorAscii"/>
          <w:lang w:val="en-US"/>
        </w:rPr>
        <w:t xml:space="preserve">In the 1940s, psychologists Kenneth and Mamie Clark designed and conducted a series of experiments known colloquially as “the doll tests” to study the psychological effects of segregation on </w:t>
      </w:r>
      <w:r w:rsidRPr="731D210D" w:rsidR="00F210AE">
        <w:rPr>
          <w:rFonts w:ascii="Calibri" w:hAnsi="Calibri" w:cs="Calibri" w:asciiTheme="minorAscii" w:hAnsiTheme="minorAscii" w:cstheme="minorAscii"/>
          <w:lang w:val="en-US"/>
        </w:rPr>
        <w:t>African-American</w:t>
      </w:r>
      <w:r w:rsidRPr="731D210D" w:rsidR="00F210AE">
        <w:rPr>
          <w:rFonts w:ascii="Calibri" w:hAnsi="Calibri" w:cs="Calibri" w:asciiTheme="minorAscii" w:hAnsiTheme="minorAscii" w:cstheme="minorAscii"/>
          <w:lang w:val="en-US"/>
        </w:rPr>
        <w:t xml:space="preserve"> children.</w:t>
      </w:r>
      <w:r w:rsidRPr="731D210D" w:rsidR="00F210AE">
        <w:rPr>
          <w:rFonts w:ascii="Calibri" w:hAnsi="Calibri" w:cs="Calibri" w:asciiTheme="minorAscii" w:hAnsiTheme="minorAscii" w:cstheme="minorAscii"/>
          <w:lang w:val="en-US"/>
        </w:rPr>
        <w:t xml:space="preserve"> </w:t>
      </w:r>
      <w:r w:rsidRPr="731D210D" w:rsidR="00F210AE">
        <w:rPr>
          <w:rFonts w:ascii="Calibri" w:hAnsi="Calibri" w:cs="Calibri" w:asciiTheme="minorAscii" w:hAnsiTheme="minorAscii" w:cstheme="minorAscii"/>
          <w:lang w:val="en-US"/>
        </w:rPr>
        <w:t xml:space="preserve">Drs. Clark used four dolls, identical except for color, to test children’s racial </w:t>
      </w:r>
      <w:r w:rsidRPr="731D210D" w:rsidR="00F210AE">
        <w:rPr>
          <w:rFonts w:ascii="Calibri" w:hAnsi="Calibri" w:cs="Calibri" w:asciiTheme="minorAscii" w:hAnsiTheme="minorAscii" w:cstheme="minorAscii"/>
          <w:lang w:val="en-US"/>
        </w:rPr>
        <w:t>perceptions</w:t>
      </w:r>
      <w:r w:rsidRPr="731D210D" w:rsidR="00F210AE">
        <w:rPr>
          <w:rFonts w:ascii="Calibri" w:hAnsi="Calibri" w:cs="Calibri" w:asciiTheme="minorAscii" w:hAnsiTheme="minorAscii" w:cstheme="minorAscii"/>
          <w:lang w:val="en-US"/>
        </w:rPr>
        <w:t xml:space="preserve">. Their subjects, children between the ages of three to seven, were asked to </w:t>
      </w:r>
      <w:r w:rsidRPr="731D210D" w:rsidR="00F210AE">
        <w:rPr>
          <w:rFonts w:ascii="Calibri" w:hAnsi="Calibri" w:cs="Calibri" w:asciiTheme="minorAscii" w:hAnsiTheme="minorAscii" w:cstheme="minorAscii"/>
          <w:lang w:val="en-US"/>
        </w:rPr>
        <w:t>identify</w:t>
      </w:r>
      <w:r w:rsidRPr="731D210D" w:rsidR="00F210AE">
        <w:rPr>
          <w:rFonts w:ascii="Calibri" w:hAnsi="Calibri" w:cs="Calibri" w:asciiTheme="minorAscii" w:hAnsiTheme="minorAscii" w:cstheme="minorAscii"/>
          <w:lang w:val="en-US"/>
        </w:rPr>
        <w:t xml:space="preserve"> both the race of the dolls and which color doll they prefer. </w:t>
      </w:r>
      <w:r w:rsidRPr="731D210D" w:rsidR="00F210AE">
        <w:rPr>
          <w:rFonts w:ascii="Calibri" w:hAnsi="Calibri" w:cs="Calibri" w:asciiTheme="minorAscii" w:hAnsiTheme="minorAscii" w:cstheme="minorAscii"/>
          <w:lang w:val="en-US"/>
        </w:rPr>
        <w:t>A majority of</w:t>
      </w:r>
      <w:r w:rsidRPr="731D210D" w:rsidR="00F210AE">
        <w:rPr>
          <w:rFonts w:ascii="Calibri" w:hAnsi="Calibri" w:cs="Calibri" w:asciiTheme="minorAscii" w:hAnsiTheme="minorAscii" w:cstheme="minorAscii"/>
          <w:lang w:val="en-US"/>
        </w:rPr>
        <w:t xml:space="preserve"> the children preferred the white doll and assigned positive characteristics to it. The Clarks concluded that “prejudice, discrimination, and segregation” created a feeling of inferiority among </w:t>
      </w:r>
      <w:r w:rsidRPr="731D210D" w:rsidR="00F210AE">
        <w:rPr>
          <w:rFonts w:ascii="Calibri" w:hAnsi="Calibri" w:cs="Calibri" w:asciiTheme="minorAscii" w:hAnsiTheme="minorAscii" w:cstheme="minorAscii"/>
          <w:lang w:val="en-US"/>
        </w:rPr>
        <w:t>African-American</w:t>
      </w:r>
      <w:r w:rsidRPr="731D210D" w:rsidR="00F210AE">
        <w:rPr>
          <w:rFonts w:ascii="Calibri" w:hAnsi="Calibri" w:cs="Calibri" w:asciiTheme="minorAscii" w:hAnsiTheme="minorAscii" w:cstheme="minorAscii"/>
          <w:lang w:val="en-US"/>
        </w:rPr>
        <w:t> children and damaged their self-esteem. </w:t>
      </w:r>
    </w:p>
    <w:p w:rsidR="00F210AE" w:rsidP="00F210AE" w:rsidRDefault="00F210AE" w14:paraId="0FD0E506" w14:textId="77777777">
      <w:pPr>
        <w:spacing w:after="0" w:line="240" w:lineRule="auto"/>
        <w:rPr>
          <w:rFonts w:eastAsia="Times New Roman" w:cstheme="minorHAnsi"/>
          <w:szCs w:val="24"/>
        </w:rPr>
      </w:pPr>
    </w:p>
    <w:p w:rsidR="00F210AE" w:rsidP="00F210AE" w:rsidRDefault="00F210AE" w14:paraId="5BEED6F1" w14:textId="77777777">
      <w:pPr>
        <w:spacing w:after="0" w:line="240" w:lineRule="auto"/>
        <w:rPr>
          <w:rFonts w:eastAsia="Times New Roman" w:cstheme="minorHAnsi"/>
          <w:szCs w:val="24"/>
        </w:rPr>
      </w:pPr>
    </w:p>
    <w:p w:rsidR="00F210AE" w:rsidP="00F210AE" w:rsidRDefault="00F210AE" w14:paraId="74B8CB7E" w14:textId="77777777">
      <w:pPr>
        <w:spacing w:after="0" w:line="240" w:lineRule="auto"/>
        <w:rPr>
          <w:rFonts w:eastAsia="Times New Roman" w:cstheme="minorHAnsi"/>
          <w:szCs w:val="24"/>
        </w:rPr>
      </w:pPr>
    </w:p>
    <w:p w:rsidR="00F210AE" w:rsidP="00F210AE" w:rsidRDefault="00F210AE" w14:paraId="03DBD758" w14:textId="77777777">
      <w:pPr>
        <w:spacing w:after="0" w:line="240" w:lineRule="auto"/>
        <w:rPr>
          <w:rFonts w:eastAsia="Times New Roman" w:cstheme="minorHAnsi"/>
          <w:b/>
          <w:szCs w:val="24"/>
        </w:rPr>
      </w:pPr>
    </w:p>
    <w:p w:rsidR="00F210AE" w:rsidP="00F210AE" w:rsidRDefault="00F210AE" w14:paraId="2ED967D3" w14:textId="77777777">
      <w:pPr>
        <w:pStyle w:val="NoSpacing"/>
        <w:rPr>
          <w:rFonts w:asciiTheme="minorHAnsi" w:hAnsiTheme="minorHAnsi" w:cstheme="minorHAnsi"/>
          <w:b/>
          <w:sz w:val="22"/>
        </w:rPr>
      </w:pPr>
    </w:p>
    <w:tbl>
      <w:tblPr>
        <w:tblStyle w:val="TableGrid"/>
        <w:tblW w:w="0" w:type="auto"/>
        <w:tblLook w:val="04A0" w:firstRow="1" w:lastRow="0" w:firstColumn="1" w:lastColumn="0" w:noHBand="0" w:noVBand="1"/>
      </w:tblPr>
      <w:tblGrid>
        <w:gridCol w:w="3595"/>
        <w:gridCol w:w="6331"/>
      </w:tblGrid>
      <w:tr w:rsidRPr="006C51D1" w:rsidR="00F210AE" w:rsidTr="00233959" w14:paraId="47875444" w14:textId="77777777">
        <w:tc>
          <w:tcPr>
            <w:tcW w:w="9926" w:type="dxa"/>
            <w:gridSpan w:val="2"/>
            <w:shd w:val="clear" w:color="auto" w:fill="514843"/>
          </w:tcPr>
          <w:p w:rsidRPr="006C51D1" w:rsidR="00F210AE" w:rsidP="00233959" w:rsidRDefault="00F210AE" w14:paraId="4EB31707" w14:textId="0E4EE383">
            <w:pPr>
              <w:rPr>
                <w:rFonts w:eastAsia="Times New Roman"/>
                <w:b/>
                <w:bCs/>
              </w:rPr>
            </w:pPr>
            <w:r w:rsidRPr="3C195944">
              <w:rPr>
                <w:rFonts w:eastAsia="Times New Roman"/>
                <w:b/>
                <w:bCs/>
                <w:color w:val="FFFFCC"/>
              </w:rPr>
              <w:t xml:space="preserve">Scenario </w:t>
            </w:r>
            <w:r>
              <w:rPr>
                <w:rFonts w:eastAsia="Times New Roman"/>
                <w:b/>
                <w:bCs/>
                <w:color w:val="FFFFCC"/>
              </w:rPr>
              <w:t>#13</w:t>
            </w:r>
            <w:r w:rsidRPr="3C195944">
              <w:rPr>
                <w:rFonts w:eastAsia="Times New Roman"/>
                <w:b/>
                <w:bCs/>
                <w:color w:val="FFFFCC"/>
              </w:rPr>
              <w:t>: The Problem Woman of Color</w:t>
            </w:r>
          </w:p>
        </w:tc>
      </w:tr>
      <w:tr w:rsidRPr="006C51D1" w:rsidR="00F210AE" w:rsidTr="00F210AE" w14:paraId="04A31EB2" w14:textId="77777777">
        <w:tc>
          <w:tcPr>
            <w:tcW w:w="3595" w:type="dxa"/>
            <w:shd w:val="clear" w:color="auto" w:fill="auto"/>
          </w:tcPr>
          <w:p w:rsidRPr="006C51D1" w:rsidR="00F210AE" w:rsidP="00F210AE" w:rsidRDefault="00F210AE" w14:paraId="2DB87DAF" w14:textId="72288099">
            <w:pPr>
              <w:rPr>
                <w:rFonts w:eastAsia="Times New Roman" w:cstheme="minorHAnsi"/>
                <w:b/>
                <w:szCs w:val="24"/>
              </w:rPr>
            </w:pPr>
            <w:r>
              <w:rPr>
                <w:b/>
              </w:rPr>
              <w:t>Quick Summary of the Case</w:t>
            </w:r>
          </w:p>
        </w:tc>
        <w:tc>
          <w:tcPr>
            <w:tcW w:w="6331" w:type="dxa"/>
          </w:tcPr>
          <w:p w:rsidR="00F210AE" w:rsidP="00F210AE" w:rsidRDefault="00F210AE" w14:paraId="19BA7945" w14:textId="77777777">
            <w:pPr>
              <w:rPr>
                <w:rFonts w:eastAsia="Times New Roman" w:cstheme="minorHAnsi"/>
                <w:b/>
                <w:szCs w:val="24"/>
              </w:rPr>
            </w:pPr>
          </w:p>
          <w:p w:rsidRPr="006C51D1" w:rsidR="00F210AE" w:rsidP="00F210AE" w:rsidRDefault="00F210AE" w14:paraId="21CB059D" w14:textId="77777777">
            <w:pPr>
              <w:rPr>
                <w:rFonts w:eastAsia="Times New Roman" w:cstheme="minorHAnsi"/>
                <w:b/>
                <w:szCs w:val="24"/>
              </w:rPr>
            </w:pPr>
          </w:p>
        </w:tc>
      </w:tr>
      <w:tr w:rsidRPr="006C51D1" w:rsidR="00F210AE" w:rsidTr="00F210AE" w14:paraId="64C5CE39" w14:textId="77777777">
        <w:tc>
          <w:tcPr>
            <w:tcW w:w="3595" w:type="dxa"/>
            <w:shd w:val="clear" w:color="auto" w:fill="auto"/>
          </w:tcPr>
          <w:p w:rsidRPr="006C51D1" w:rsidR="00F210AE" w:rsidP="00F210AE" w:rsidRDefault="00F210AE" w14:paraId="356B1249" w14:textId="16DA7402">
            <w:pPr>
              <w:rPr>
                <w:rFonts w:eastAsia="Times New Roman" w:cstheme="minorHAnsi"/>
                <w:b/>
                <w:szCs w:val="24"/>
              </w:rPr>
            </w:pPr>
            <w:r>
              <w:rPr>
                <w:b/>
              </w:rPr>
              <w:t xml:space="preserve">Level of Expression of Oppression and Why you chose this </w:t>
            </w:r>
          </w:p>
        </w:tc>
        <w:tc>
          <w:tcPr>
            <w:tcW w:w="6331" w:type="dxa"/>
          </w:tcPr>
          <w:p w:rsidR="00F210AE" w:rsidP="00F210AE" w:rsidRDefault="00F210AE" w14:paraId="67A94B97" w14:textId="77777777">
            <w:pPr>
              <w:rPr>
                <w:rFonts w:eastAsia="Times New Roman" w:cstheme="minorHAnsi"/>
                <w:b/>
                <w:szCs w:val="24"/>
              </w:rPr>
            </w:pPr>
          </w:p>
        </w:tc>
      </w:tr>
    </w:tbl>
    <w:p w:rsidR="00F210AE" w:rsidP="00F210AE" w:rsidRDefault="00F210AE" w14:paraId="00DD5129" w14:textId="77777777">
      <w:pPr>
        <w:pStyle w:val="NoSpacing"/>
      </w:pPr>
      <w:r>
        <w:rPr>
          <w:noProof/>
        </w:rPr>
        <w:drawing>
          <wp:inline distT="0" distB="0" distL="0" distR="0" wp14:anchorId="333E9FAA" wp14:editId="048000F2">
            <wp:extent cx="5550747" cy="7569200"/>
            <wp:effectExtent l="0" t="0" r="0" b="0"/>
            <wp:docPr id="1366077643" name="Picture 1366077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555330" cy="7575450"/>
                    </a:xfrm>
                    <a:prstGeom prst="rect">
                      <a:avLst/>
                    </a:prstGeom>
                  </pic:spPr>
                </pic:pic>
              </a:graphicData>
            </a:graphic>
          </wp:inline>
        </w:drawing>
      </w:r>
    </w:p>
    <w:sectPr w:rsidR="00F210AE">
      <w:type w:val="continuous"/>
      <w:pgSz w:w="12240" w:h="15840" w:orient="portrait"/>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446AB"/>
    <w:multiLevelType w:val="hybridMultilevel"/>
    <w:tmpl w:val="860630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E"/>
    <w:rsid w:val="007D5BB4"/>
    <w:rsid w:val="0098451E"/>
    <w:rsid w:val="00A47308"/>
    <w:rsid w:val="00EA4001"/>
    <w:rsid w:val="00F210AE"/>
    <w:rsid w:val="1B794C95"/>
    <w:rsid w:val="25B70172"/>
    <w:rsid w:val="37F8A4F7"/>
    <w:rsid w:val="41EA7279"/>
    <w:rsid w:val="6A54591A"/>
    <w:rsid w:val="730F65F3"/>
    <w:rsid w:val="731D210D"/>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36AE"/>
  <w15:docId w15:val="{94753A27-B611-4C5F-8AE7-F938B247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styleId="BodyTextChar" w:customStyle="1">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7.png" Id="rId18" /><Relationship Type="http://schemas.openxmlformats.org/officeDocument/2006/relationships/hyperlink" Target="http://bit.ly/2wkX70X" TargetMode="External" Id="rId26" /><Relationship Type="http://schemas.openxmlformats.org/officeDocument/2006/relationships/styles" Target="styles.xml" Id="rId3" /><Relationship Type="http://schemas.openxmlformats.org/officeDocument/2006/relationships/hyperlink" Target="https://www.washingtonpost.com/nation/2019/04/30/transgender-woman-wrote-letter-her-boss-it-led-her-firing-trip-supreme-court/" TargetMode="External" Id="rId21" /><Relationship Type="http://schemas.openxmlformats.org/officeDocument/2006/relationships/customXml" Target="../customXml/item2.xml" Id="rId34" /><Relationship Type="http://schemas.openxmlformats.org/officeDocument/2006/relationships/image" Target="media/image1.png" Id="rId7" /><Relationship Type="http://schemas.openxmlformats.org/officeDocument/2006/relationships/hyperlink" Target="https://www.washingtonpost.com/education/2022/03/30/transgender-discrimination-title-ix-rule-students/" TargetMode="External" Id="rId12" /><Relationship Type="http://schemas.openxmlformats.org/officeDocument/2006/relationships/image" Target="media/image6.png" Id="rId17" /><Relationship Type="http://schemas.openxmlformats.org/officeDocument/2006/relationships/image" Target="media/image9.png" Id="rId25" /><Relationship Type="http://schemas.openxmlformats.org/officeDocument/2006/relationships/theme" Target="theme/theme1.xml" Id="rId33" /><Relationship Type="http://schemas.openxmlformats.org/officeDocument/2006/relationships/numbering" Target="numbering.xml" Id="rId2" /><Relationship Type="http://schemas.openxmlformats.org/officeDocument/2006/relationships/hyperlink" Target="https://www.glaad.org/amp/lgbtq-youth-share-stories-offer-advice-adults-to-end-bullying" TargetMode="External" Id="rId16" /><Relationship Type="http://schemas.openxmlformats.org/officeDocument/2006/relationships/image" Target="media/image8.png" Id="rId20" /><Relationship Type="http://schemas.openxmlformats.org/officeDocument/2006/relationships/image" Target="media/image11.png" Id="rId29" /><Relationship Type="http://schemas.openxmlformats.org/officeDocument/2006/relationships/customXml" Target="../customXml/item1.xml" Id="rId1" /><Relationship Type="http://schemas.openxmlformats.org/officeDocument/2006/relationships/hyperlink" Target="https://www.thetaskforce.org/new-report-reveals-rampant-discrimination-against-transgender-people-by-health-providers-high-hiv-rates-and-widespread-lack-of-access-to-necessary-care-2/" TargetMode="External" Id="rId6" /><Relationship Type="http://schemas.openxmlformats.org/officeDocument/2006/relationships/image" Target="media/image3.png" Id="rId11" /><Relationship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 Id="rId24"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image" Target="media/image5.png" Id="rId15" /><Relationship Type="http://schemas.openxmlformats.org/officeDocument/2006/relationships/hyperlink" Target="https://www.eeoc.gov/eeoc/litigation/briefs/rg_gr_harris.html" TargetMode="External" Id="rId23" /><Relationship Type="http://schemas.openxmlformats.org/officeDocument/2006/relationships/image" Target="media/image10.jpeg" Id="rId28" /><Relationship Type="http://schemas.openxmlformats.org/officeDocument/2006/relationships/customXml" Target="../customXml/item4.xml" Id="rId36" /><Relationship Type="http://schemas.openxmlformats.org/officeDocument/2006/relationships/hyperlink" Target="https://www.cnbc.com/2022/06/28/30percent-of-lgbtq-adults-experienced-discrimination-in-financial-services.html" TargetMode="External" Id="rId10" /><Relationship Type="http://schemas.openxmlformats.org/officeDocument/2006/relationships/hyperlink" Target="https://www.nvdaily.com/nvdaily/strasburg-residents-home-vandalized-for-second-time-police-investigate-incidents-as-hate-crimes/article_ca7c986f-3770-5de3-91e6-05e8c1d33367.html" TargetMode="External" Id="rId19" /><Relationship Type="http://schemas.openxmlformats.org/officeDocument/2006/relationships/image" Target="media/image13.png" Id="rId31" /><Relationship Type="http://schemas.openxmlformats.org/officeDocument/2006/relationships/settings" Target="settings.xml" Id="rId4" /><Relationship Type="http://schemas.openxmlformats.org/officeDocument/2006/relationships/hyperlink" Target="https://digitalcommons.wcl.american.edu/cgi/viewcontent.cgi?article=1679&amp;context=jgspl" TargetMode="External" Id="rId9" /><Relationship Type="http://schemas.openxmlformats.org/officeDocument/2006/relationships/hyperlink" Target="https://www.nydailynews.com/sports/more-sports/ny-fina-world-swimming-bans-transgender-athletes-elite-women-lia-thomas-20220619-hxjhhrmwaffapibcp3lnogy2hm-story.html" TargetMode="External" Id="rId14" /><Relationship Type="http://schemas.openxmlformats.org/officeDocument/2006/relationships/hyperlink" Target="https://www.cnn.com/2018/08/29/politics/harris-funeral-homes-lawsuit/index.html" TargetMode="External" Id="rId22" /><Relationship Type="http://schemas.openxmlformats.org/officeDocument/2006/relationships/hyperlink" Target="http://www.suspensionstories.com/wp-content/uploads/2010/10/School-to-Prison-Illustration.jpg" TargetMode="External" Id="rId27" /><Relationship Type="http://schemas.openxmlformats.org/officeDocument/2006/relationships/image" Target="media/image12.jpeg" Id="rId30" /><Relationship Type="http://schemas.openxmlformats.org/officeDocument/2006/relationships/customXml" Target="../customXml/item3.xml" Id="rId35" /><Relationship Type="http://schemas.openxmlformats.org/officeDocument/2006/relationships/image" Target="media/image2.png"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769E0C-96A1-44BF-B187-DD1D1C89E5BA}"/>
</file>

<file path=customXml/itemProps3.xml><?xml version="1.0" encoding="utf-8"?>
<ds:datastoreItem xmlns:ds="http://schemas.openxmlformats.org/officeDocument/2006/customXml" ds:itemID="{AFE6321E-4EE6-49CE-A9E6-FF302814744E}"/>
</file>

<file path=customXml/itemProps4.xml><?xml version="1.0" encoding="utf-8"?>
<ds:datastoreItem xmlns:ds="http://schemas.openxmlformats.org/officeDocument/2006/customXml" ds:itemID="{4093234E-EB90-4454-9CAB-071072476F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Katie Bishop [WA]</cp:lastModifiedBy>
  <cp:revision>4</cp:revision>
  <dcterms:created xsi:type="dcterms:W3CDTF">2023-08-30T16:20:00Z</dcterms:created>
  <dcterms:modified xsi:type="dcterms:W3CDTF">2025-08-28T22:49:28Z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