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header1.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Course Details</w:t>
      </w:r>
    </w:p>
    <w:p>
      <w:pPr>
        <w:pStyle w:val="standard"/>
      </w:pPr>
    </w:p>
    <w:p>
      <w:pPr>
        <w:pStyle w:val="Heading1"/>
      </w:pPr>
      <w:r>
        <w:t xml:space="preserve">COURSE INFORMATION</w:t>
      </w:r>
    </w:p>
    <w:p>
      <w:pPr>
        <w:pStyle w:val="Heading2"/>
      </w:pPr>
      <w:r>
        <w:t xml:space="preserve">Course Topic</w:t>
      </w:r>
    </w:p>
    <w:p>
      <w:pPr>
        <w:pStyle w:val="standard"/>
      </w:pPr>
      <w:r>
        <w:t xml:space="preserve">Organizing campaign planning for union leadership</w:t>
      </w:r>
    </w:p>
    <w:p>
      <w:pPr>
        <w:pStyle w:val="Heading2"/>
      </w:pPr>
      <w:r>
        <w:t xml:space="preserve">Tone</w:t>
      </w:r>
    </w:p>
    <w:p>
      <w:pPr>
        <w:pStyle w:val="standard"/>
      </w:pPr>
      <w:r>
        <w:t xml:space="preserve">practical, empowering, collaborative, clear</w:t>
      </w:r>
    </w:p>
    <w:p>
      <w:pPr>
        <w:pStyle w:val="Heading2"/>
      </w:pPr>
      <w:r>
        <w:t xml:space="preserve">Audience</w:t>
      </w:r>
    </w:p>
    <w:p>
      <w:pPr>
        <w:pStyle w:val="standard"/>
      </w:pPr>
      <w:r>
        <w:t xml:space="preserve">Union members and union staff in public schools participating in Campaign Lab Leadership teams, seeking to build skills for organizing campaigns.</w:t>
      </w:r>
    </w:p>
    <w:p>
      <w:pPr>
        <w:pStyle w:val="Heading2"/>
      </w:pPr>
      <w:r>
        <w:t xml:space="preserve">Goals</w:t>
      </w:r>
    </w:p>
    <w:p>
      <w:pPr>
        <w:pStyle w:val="standard"/>
      </w:pPr>
      <w:r>
        <w:t xml:space="preserve">Learners will be able to collaboratively define shared vision, develop a theory of change, create strategies, identify tactics, and set measurable goals for union organizing campaigns in public schools.</w:t>
      </w:r>
    </w:p>
    <w:p>
      <w:pPr>
        <w:pStyle w:val="standard"/>
      </w:pPr>
    </w:p>
    <w:p>
      <w:pPr>
        <w:pStyle w:val="Heading1"/>
      </w:pPr>
      <w:r>
        <w:t xml:space="preserve">LEARNING OBJECTIVES</w:t>
      </w:r>
    </w:p>
    <w:p>
      <w:pPr>
        <w:pStyle w:val="standard-bold"/>
        <w:numPr>
          <w:ilvl w:val="0"/>
          <w:numId w:val="2"/>
        </w:numPr>
      </w:pPr>
      <w:r>
        <w:t xml:space="preserve">Define shared vision and its role in union organizing.</w:t>
      </w:r>
    </w:p>
    <w:p>
      <w:pPr>
        <w:pStyle w:val="standard-bold"/>
        <w:numPr>
          <w:ilvl w:val="0"/>
          <w:numId w:val="2"/>
        </w:numPr>
      </w:pPr>
      <w:r>
        <w:t xml:space="preserve">Develop a theory of change specific to campaign objectives.</w:t>
      </w:r>
    </w:p>
    <w:p>
      <w:pPr>
        <w:pStyle w:val="standard-bold"/>
        <w:numPr>
          <w:ilvl w:val="0"/>
          <w:numId w:val="2"/>
        </w:numPr>
      </w:pPr>
      <w:r>
        <w:t xml:space="preserve">Distinguish between strategies and tactics in campaign planning.</w:t>
      </w:r>
    </w:p>
    <w:p>
      <w:pPr>
        <w:pStyle w:val="standard-bold"/>
        <w:numPr>
          <w:ilvl w:val="0"/>
          <w:numId w:val="2"/>
        </w:numPr>
      </w:pPr>
      <w:r>
        <w:t xml:space="preserve">Map out effective campaign strategies for achieving specific goals.</w:t>
      </w:r>
    </w:p>
    <w:p>
      <w:pPr>
        <w:pStyle w:val="standard-bold"/>
        <w:numPr>
          <w:ilvl w:val="0"/>
          <w:numId w:val="2"/>
        </w:numPr>
      </w:pPr>
      <w:r>
        <w:t xml:space="preserve">Create measurable goals that focus resources and build union capacity.</w:t>
      </w:r>
    </w:p>
    <w:p>
      <w:pPr>
        <w:pStyle w:val="Title"/>
        <w:pageBreakBefore/>
      </w:pPr>
      <w:r>
        <w:t xml:space="preserve">Course Outline</w:t>
      </w:r>
    </w:p>
    <w:p>
      <w:pPr>
        <w:pStyle w:val="standard"/>
      </w:pPr>
    </w:p>
    <w:p>
      <w:pPr>
        <w:pStyle w:val="Heading1"/>
      </w:pPr>
      <w:r>
        <w:t xml:space="preserve">OVERVIEW</w:t>
      </w:r>
    </w:p>
    <w:p>
      <w:pPr>
        <w:pStyle w:val="standard-bold"/>
      </w:pPr>
      <w:r>
        <w:t xml:space="preserve">Campaign Planning Essentials for Union Leadership Teams</w:t>
      </w:r>
    </w:p>
    <w:p>
      <w:pPr>
        <w:pStyle w:val="Heading2"/>
      </w:pPr>
      <w:r>
        <w:t xml:space="preserve">Description</w:t>
      </w:r>
    </w:p>
    <w:p>
      <w:pPr>
        <w:pStyle w:val="standard"/>
      </w:pPr>
      <w:r>
        <w:t xml:space="preserve">Are you ready to lead meaningful change in your school community? This course equips union members and staff with the essential skills to plan and execute powerful organizing campaigns. Discover how to collaboratively define a shared vision, craft a compelling theory of change, develop effective strategies, and set measurable goals that focus your team’s energy for maximum impact. By the end, you’ll be prepared to turn collective aspirations into real, lasting improvements for public schools.</w:t>
      </w:r>
    </w:p>
    <w:p>
      <w:pPr>
        <w:pStyle w:val="Heading2"/>
      </w:pPr>
      <w:r>
        <w:t xml:space="preserve">Lessons</w:t>
      </w:r>
    </w:p>
    <w:p>
      <w:pPr>
        <w:pStyle w:val="standard-bold"/>
        <w:numPr>
          <w:ilvl w:val="0"/>
          <w:numId w:val="3"/>
        </w:numPr>
        <w:spacing w:after="0"/>
      </w:pPr>
      <w:r>
        <w:t xml:space="preserve">Building a Shared Vision for Union Campaigns</w:t>
      </w:r>
    </w:p>
    <w:p>
      <w:pPr>
        <w:pStyle w:val="standard-bold"/>
        <w:numPr>
          <w:ilvl w:val="0"/>
          <w:numId w:val="3"/>
        </w:numPr>
        <w:spacing w:after="0"/>
      </w:pPr>
      <w:r>
        <w:t xml:space="preserve">Crafting a Theory of Change for Effective Organizing</w:t>
      </w:r>
    </w:p>
    <w:p>
      <w:pPr>
        <w:pStyle w:val="standard-bold"/>
        <w:numPr>
          <w:ilvl w:val="0"/>
          <w:numId w:val="3"/>
        </w:numPr>
        <w:spacing w:after="0"/>
      </w:pPr>
      <w:r>
        <w:t xml:space="preserve">Distinguishing Strategy from Tactics in Campaign Planning</w:t>
      </w:r>
    </w:p>
    <w:p>
      <w:pPr>
        <w:pStyle w:val="standard-bold"/>
        <w:numPr>
          <w:ilvl w:val="0"/>
          <w:numId w:val="3"/>
        </w:numPr>
        <w:spacing w:after="0"/>
      </w:pPr>
      <w:r>
        <w:t xml:space="preserve">Designing Effective Strategies for Union Campaigns</w:t>
      </w:r>
    </w:p>
    <w:p>
      <w:pPr>
        <w:pStyle w:val="standard-bold"/>
        <w:numPr>
          <w:ilvl w:val="0"/>
          <w:numId w:val="3"/>
        </w:numPr>
        <w:spacing w:after="240"/>
      </w:pPr>
      <w:r>
        <w:t xml:space="preserve">Setting Measurable Goals to Focus Resources and Build Capacity</w:t>
      </w:r>
    </w:p>
    <w:p>
      <w:pPr>
        <w:pStyle w:val="standard"/>
      </w:pPr>
    </w:p>
    <w:p>
      <w:pPr>
        <w:pStyle w:val="Heading1"/>
      </w:pPr>
      <w:r>
        <w:t xml:space="preserve">LESSON #1</w:t>
      </w:r>
    </w:p>
    <w:p>
      <w:pPr>
        <w:pStyle w:val="standard-bold"/>
        <w:keepNext/>
      </w:pPr>
      <w:r>
        <w:t xml:space="preserve">Building a Shared Vision for Union Campaigns</w:t>
      </w:r>
    </w:p>
    <w:p>
      <w:pPr>
        <w:pStyle w:val="Heading2"/>
      </w:pPr>
      <w:r>
        <w:t xml:space="preserve">Description</w:t>
      </w:r>
    </w:p>
    <w:p>
      <w:pPr>
        <w:pStyle w:val="standard"/>
      </w:pPr>
      <w:r>
        <w:t xml:space="preserve">This lesson introduces the concept of shared vision as the foundation of union organizing campaigns. It will cover how to create a collective narrative rooted in shared values, experiences, and aspirations, and how this vision fosters trust and motivation among members. The lesson will walk through Marshall Ganz’s Public Narrative framework, emphasizing authentic vision-building through listening and storytelling. It will conclude with guidance on connecting shared vision to actionable challenges within public school unions.</w:t>
      </w:r>
    </w:p>
    <w:p>
      <w:pPr>
        <w:pStyle w:val="Heading2"/>
      </w:pPr>
      <w:r>
        <w:t xml:space="preserve">Key Topics</w:t>
      </w:r>
    </w:p>
    <w:p>
      <w:pPr>
        <w:pStyle w:val="standard-ital"/>
      </w:pPr>
      <w:r>
        <w:t xml:space="preserve">Definition and importance of shared vision, Public Narrative framework, Authenticity and member-driven vision creation, Connecting vision to action in union contexts</w:t>
      </w:r>
    </w:p>
    <w:p>
      <w:pPr>
        <w:pStyle w:val="standard"/>
      </w:pPr>
    </w:p>
    <w:p>
      <w:pPr>
        <w:pStyle w:val="Heading1"/>
      </w:pPr>
      <w:r>
        <w:t xml:space="preserve">LESSON #2</w:t>
      </w:r>
    </w:p>
    <w:p>
      <w:pPr>
        <w:pStyle w:val="standard-bold"/>
        <w:keepNext/>
      </w:pPr>
      <w:r>
        <w:t xml:space="preserve">Crafting a Theory of Change for Effective Organizing</w:t>
      </w:r>
    </w:p>
    <w:p>
      <w:pPr>
        <w:pStyle w:val="Heading2"/>
      </w:pPr>
      <w:r>
        <w:t xml:space="preserve">Description</w:t>
      </w:r>
    </w:p>
    <w:p>
      <w:pPr>
        <w:pStyle w:val="standard"/>
      </w:pPr>
      <w:r>
        <w:t xml:space="preserve">This lesson explores the development of a theory of change specific to union organizing campaigns. It will explain the 'If-Then-Because' structure, illustrating how to link tactics to desired outcomes with a clear rationale. Key distinctions between mobilizing people and shifting power dynamics will be unpacked, and the lesson will address how to root theories of change in shared values and public narratives. The session will include practical examples tailored to public school union campaigns.</w:t>
      </w:r>
    </w:p>
    <w:p>
      <w:pPr>
        <w:pStyle w:val="Heading2"/>
      </w:pPr>
      <w:r>
        <w:t xml:space="preserve">Key Topics</w:t>
      </w:r>
    </w:p>
    <w:p>
      <w:pPr>
        <w:pStyle w:val="standard-ital"/>
      </w:pPr>
      <w:r>
        <w:t xml:space="preserve">Theory of change definition and structure, Linking tactics to outcomes ('If-Then-Because'), Power relationships and values-driven change, Application to public school union campaigns</w:t>
      </w:r>
    </w:p>
    <w:p>
      <w:pPr>
        <w:pStyle w:val="standard"/>
      </w:pPr>
    </w:p>
    <w:p>
      <w:pPr>
        <w:pStyle w:val="Heading1"/>
      </w:pPr>
      <w:r>
        <w:t xml:space="preserve">LESSON #3</w:t>
      </w:r>
    </w:p>
    <w:p>
      <w:pPr>
        <w:pStyle w:val="standard-bold"/>
        <w:keepNext/>
      </w:pPr>
      <w:r>
        <w:t xml:space="preserve">Distinguishing Strategy from Tactics in Campaign Planning</w:t>
      </w:r>
    </w:p>
    <w:p>
      <w:pPr>
        <w:pStyle w:val="Heading2"/>
      </w:pPr>
      <w:r>
        <w:t xml:space="preserve">Description</w:t>
      </w:r>
    </w:p>
    <w:p>
      <w:pPr>
        <w:pStyle w:val="standard"/>
      </w:pPr>
      <w:r>
        <w:t xml:space="preserve">This lesson clarifies the difference between strategy and tactics within the context of organizing campaigns. It will cover how to turn resources into power through strategic planning and how to adapt strategies in response to changing contexts. The lesson will also address the importance of mapping constituencies, opposition, and supporters, and how strategy guides tactical choices. Real-world scenarios in public school union campaigns will be used to illustrate these concepts.</w:t>
      </w:r>
    </w:p>
    <w:p>
      <w:pPr>
        <w:pStyle w:val="Heading2"/>
      </w:pPr>
      <w:r>
        <w:t xml:space="preserve">Key Topics</w:t>
      </w:r>
    </w:p>
    <w:p>
      <w:pPr>
        <w:pStyle w:val="standard-ital"/>
      </w:pPr>
      <w:r>
        <w:t xml:space="preserve">Strategy vs. tactics: definitions and distinctions, Resource mapping and strategic adaptation, Identifying constituencies, opposition, and allies, Guiding tactical choices with strategy</w:t>
      </w:r>
    </w:p>
    <w:p>
      <w:pPr>
        <w:pStyle w:val="standard"/>
      </w:pPr>
    </w:p>
    <w:p>
      <w:pPr>
        <w:pStyle w:val="Heading1"/>
      </w:pPr>
      <w:r>
        <w:t xml:space="preserve">LESSON #4</w:t>
      </w:r>
    </w:p>
    <w:p>
      <w:pPr>
        <w:pStyle w:val="standard-bold"/>
        <w:keepNext/>
      </w:pPr>
      <w:r>
        <w:t xml:space="preserve">Designing Effective Strategies for Union Campaigns</w:t>
      </w:r>
    </w:p>
    <w:p>
      <w:pPr>
        <w:pStyle w:val="Heading2"/>
      </w:pPr>
      <w:r>
        <w:t xml:space="preserve">Description</w:t>
      </w:r>
    </w:p>
    <w:p>
      <w:pPr>
        <w:pStyle w:val="standard"/>
      </w:pPr>
      <w:r>
        <w:t xml:space="preserve">This lesson focuses on mapping out effective campaign strategies to achieve specific, measurable goals in public school union organizing. It covers the step-by-step process of identifying constituencies, defining problems, analyzing resources, and selecting strategic goals. The lesson includes methods for evaluating potential goals, leveraging strengths, and building organizational capacity. Emphasis is placed on aligning strategy with the unique context and challenges faced by union members in schools.</w:t>
      </w:r>
    </w:p>
    <w:p>
      <w:pPr>
        <w:pStyle w:val="Heading2"/>
      </w:pPr>
      <w:r>
        <w:t xml:space="preserve">Key Topics</w:t>
      </w:r>
    </w:p>
    <w:p>
      <w:pPr>
        <w:pStyle w:val="standard-ital"/>
      </w:pPr>
      <w:r>
        <w:t xml:space="preserve">Stepwise strategy development process, Problem definition and goal selection, Resource analysis and leverage, Building organizational capacity, Contextualizing strategy for public school unions</w:t>
      </w:r>
    </w:p>
    <w:p>
      <w:pPr>
        <w:pStyle w:val="standard"/>
      </w:pPr>
    </w:p>
    <w:p>
      <w:pPr>
        <w:pStyle w:val="Heading1"/>
      </w:pPr>
      <w:r>
        <w:t xml:space="preserve">LESSON #5</w:t>
      </w:r>
    </w:p>
    <w:p>
      <w:pPr>
        <w:pStyle w:val="standard-bold"/>
        <w:keepNext/>
      </w:pPr>
      <w:r>
        <w:t xml:space="preserve">Setting Measurable Goals to Focus Resources and Build Capacity</w:t>
      </w:r>
    </w:p>
    <w:p>
      <w:pPr>
        <w:pStyle w:val="Heading2"/>
      </w:pPr>
      <w:r>
        <w:t xml:space="preserve">Description</w:t>
      </w:r>
    </w:p>
    <w:p>
      <w:pPr>
        <w:pStyle w:val="standard"/>
      </w:pPr>
      <w:r>
        <w:t xml:space="preserve">This lesson guides learners through the process of creating clear, measurable goals for union organizing campaigns. It explains the importance of focusing resources, motivating members, and building leadership capacity through well-defined objectives. The lesson will discuss criteria for effective goals, provide union-specific examples, and explore how nested tactical goals support larger strategic aims. Learners will practice drafting goals that can be tracked, evaluated, and celebrated within their campaigns.</w:t>
      </w:r>
    </w:p>
    <w:p>
      <w:pPr>
        <w:pStyle w:val="Heading2"/>
      </w:pPr>
      <w:r>
        <w:t xml:space="preserve">Key Topics</w:t>
      </w:r>
    </w:p>
    <w:p>
      <w:pPr>
        <w:pStyle w:val="standard-ital"/>
      </w:pPr>
      <w:r>
        <w:t xml:space="preserve">Importance of measurable and motivational goals, Criteria for effective campaign goals, Examples of union campaign goals, Role of nested tactical goals, Tracking and evaluating progress</w:t>
      </w:r>
    </w:p>
    <w:p>
      <w:pPr>
        <w:pStyle w:val="Title"/>
        <w:pageBreakBefore/>
      </w:pPr>
      <w:r>
        <w:t xml:space="preserve">Source Materials</w:t>
      </w:r>
    </w:p>
    <w:p>
      <w:pPr>
        <w:pStyle w:val="standard"/>
      </w:pPr>
    </w:p>
    <w:p>
      <w:pPr>
        <w:pStyle w:val="standard"/>
      </w:pPr>
      <w:r>
        <w:t xml:space="preserve">Vision, Theory of Change, Strategy, Tactics, and Goals.docx</w:t>
      </w:r>
    </w:p>
    <w:sectPr>
      <w:headerReference w:type="default" r:id="rId6"/>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Style w:val="header"/>
    </w:pPr>
    <w:r>
      <w:drawing>
        <wp:anchor distT="0" distB="0" distL="0" distR="0" simplePos="0" allowOverlap="1" behindDoc="0" locked="0" layoutInCell="1" relativeHeight="152400">
          <wp:simplePos x="0" y="0"/>
          <wp:positionH relativeFrom="margin">
            <wp:align>left</wp:align>
          </wp:positionH>
          <wp:positionV relativeFrom="paragraph">
            <wp:align>top</wp:align>
          </wp:positionV>
          <wp:extent cx="904875" cy="152400"/>
          <wp:effectExtent t="0" r="0" b="0" l="0"/>
          <wp:wrapSquare wrapText="bothSides" distT="0" distB="0" distL="0" distR="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152400"/>
                  </a:xfrm>
                  <a:prstGeom prst="rect">
                    <a:avLst/>
                  </a:prstGeom>
                </pic:spPr>
              </pic:pic>
            </a:graphicData>
          </a:graphic>
        </wp:anchor>
      </w:drawing>
    </w:r>
    <w:r>
      <w:t xml:space="preserve">Created by Ellen Holmes with Articulate AI Assistant</w:t>
    </w:r>
    <w:r>
      <w:br/>
    </w:r>
    <w:r>
      <w:t xml:space="preserve">10:42 AM 4/10/26</w:t>
    </w:r>
  </w:p>
  <w:p>
    <w:r>
      <w:drawing>
        <wp:anchor distT="0" distB="0" distL="0" distR="0" simplePos="0" allowOverlap="1" behindDoc="1" locked="0" layoutInCell="1" relativeHeight="1981200">
          <wp:simplePos x="0" y="0"/>
          <wp:positionH relativeFrom="page">
            <wp:align>right</wp:align>
          </wp:positionH>
          <wp:positionV relativeFrom="page">
            <wp:align>bottom</wp:align>
          </wp:positionV>
          <wp:extent cx="1981200" cy="19812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981200" cy="19812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start"/>
      <w:pPr>
        <w:spacing w:after="240"/>
        <w:ind w:left="360" w:hanging="360"/>
      </w:pPr>
      <w:rPr>
        <w:rFonts w:ascii="Verdana" w:hAnsi="Verdana" w:eastAsia="Verdana" w:cs="Verdana" w:hint="default"/>
        <w:color w:val="000000"/>
        <w:sz w:val="22"/>
        <w:szCs w:val="22"/>
      </w:rPr>
    </w:lvl>
  </w:abstractNum>
  <w:abstractNum w:abstractNumId="3" w15:restartNumberingAfterBreak="0">
    <w:multiLevelType w:val="hybridMultilevel"/>
    <w:lvl w:ilvl="0" w15:tentative="1">
      <w:start w:val="1"/>
      <w:numFmt w:val="decimal"/>
      <w:lvlText w:val="%1."/>
      <w:lvlJc w:val="start"/>
      <w:pPr>
        <w:ind w:left="360" w:hanging="360"/>
      </w:pPr>
      <w:rPr>
        <w:rFonts w:ascii="Verdana" w:hAnsi="Verdana" w:eastAsia="Verdana" w:cs="Verdana" w:hint="default"/>
        <w:b/>
        <w:bCs/>
        <w:color w:val="0075cf"/>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hAnsi="Verdana" w:eastAsia="Verdana" w:cs="Verdana" w:hint="defaul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er">
    <w:name w:val="header"/>
    <w:pPr>
      <w:jc w:val="right"/>
    </w:pPr>
    <w:rPr>
      <w:rFonts w:ascii="Verdana" w:hAnsi="Verdana" w:eastAsia="Verdana" w:cs="Verdana" w:hint="default"/>
      <w:color w:val="636363"/>
      <w:sz w:val="16"/>
      <w:szCs w:val="16"/>
    </w:rPr>
  </w:style>
  <w:style w:type="paragraph" w:styleId="Title">
    <w:name w:val="Title"/>
    <w:pPr>
      <w:pBdr>
        <w:bottom w:val="single" w:color="444746" w:sz="2" w:space="20"/>
      </w:pBdr>
      <w:spacing w:after="120"/>
      <w:outlineLvl w:val="0"/>
    </w:pPr>
    <w:rPr>
      <w:rFonts w:ascii="Verdana" w:hAnsi="Verdana" w:eastAsia="Verdana" w:cs="Verdana" w:hint="default"/>
      <w:color w:val="444746"/>
      <w:sz w:val="40"/>
      <w:szCs w:val="40"/>
    </w:rPr>
  </w:style>
  <w:style w:type="paragraph" w:styleId="Heading1">
    <w:name w:val="Heading1"/>
    <w:pPr>
      <w:keepNext/>
      <w:spacing w:after="240"/>
      <w:outlineLvl w:val="1"/>
    </w:pPr>
    <w:rPr>
      <w:rFonts w:ascii="Verdana" w:hAnsi="Verdana" w:eastAsia="Verdana" w:cs="Verdana" w:hint="default"/>
      <w:b/>
      <w:bCs/>
      <w:caps/>
      <w:color w:val="0075cf"/>
      <w:sz w:val="22"/>
      <w:szCs w:val="22"/>
    </w:rPr>
  </w:style>
  <w:style w:type="paragraph" w:styleId="Heading2">
    <w:name w:val="Heading2"/>
    <w:pPr>
      <w:keepNext/>
      <w:spacing w:after="240"/>
      <w:outlineLvl w:val="2"/>
    </w:pPr>
    <w:rPr>
      <w:rFonts w:ascii="Verdana" w:hAnsi="Verdana" w:eastAsia="Verdana" w:cs="Verdana" w:hint="default"/>
      <w:b/>
      <w:bCs/>
      <w:color w:val="000000"/>
      <w:sz w:val="22"/>
      <w:szCs w:val="22"/>
    </w:rPr>
  </w:style>
  <w:style w:type="paragraph" w:styleId="standard">
    <w:name w:val="standard"/>
    <w:pPr>
      <w:spacing w:after="240"/>
    </w:pPr>
    <w:rPr>
      <w:rFonts w:ascii="Verdana" w:hAnsi="Verdana" w:eastAsia="Verdana" w:cs="Verdana" w:hint="default"/>
      <w:color w:val="000000"/>
      <w:sz w:val="22"/>
      <w:szCs w:val="22"/>
    </w:rPr>
  </w:style>
  <w:style w:type="paragraph" w:styleId="standard-bold">
    <w:name w:val="standard-bold"/>
    <w:pPr>
      <w:spacing w:after="240"/>
    </w:pPr>
    <w:rPr>
      <w:rFonts w:ascii="Verdana" w:hAnsi="Verdana" w:eastAsia="Verdana" w:cs="Verdana" w:hint="default"/>
      <w:b/>
      <w:bCs/>
      <w:color w:val="000000"/>
      <w:sz w:val="22"/>
      <w:szCs w:val="22"/>
    </w:rPr>
  </w:style>
  <w:style w:type="paragraph" w:styleId="standard-ital">
    <w:name w:val="standard-ital"/>
    <w:pPr>
      <w:spacing w:after="240"/>
    </w:pPr>
    <w:rPr>
      <w:rFonts w:ascii="Verdana" w:hAnsi="Verdana" w:eastAsia="Verdana" w:cs="Verdana" w:hint="default"/>
      <w:i/>
      <w:iCs/>
      <w:color w:val="000000"/>
      <w:sz w:val="22"/>
      <w:szCs w:val="22"/>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footnotes" Target="footnot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comments" Target="comment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27e620d9449fd42e5f304acc0e0314b7e630fe0.png"/><Relationship Id="rId1" Type="http://schemas.openxmlformats.org/officeDocument/2006/relationships/image" Target="media/ae2b8a964f80fc375e4f4707cee6ce2269688b27.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4AF2D913-81AF-4E4F-9EA2-9ECF6EA011C5}"/>
</file>

<file path=customXml/itemProps2.xml><?xml version="1.0" encoding="utf-8"?>
<ds:datastoreItem xmlns:ds="http://schemas.openxmlformats.org/officeDocument/2006/customXml" ds:itemID="{E07536AD-2199-4CEA-850A-6B5A2BB823D1}"/>
</file>

<file path=customXml/itemProps3.xml><?xml version="1.0" encoding="utf-8"?>
<ds:datastoreItem xmlns:ds="http://schemas.openxmlformats.org/officeDocument/2006/customXml" ds:itemID="{099448C1-05D2-49E9-B853-B9D52E88CFCD}"/>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2026-04-10T14:42:02Z</dcterms:created>
  <dcterms:modified xsi:type="dcterms:W3CDTF">2026-04-10T14:42:02Z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4093400</vt:r8>
  </property>
  <property fmtid="{D5CDD505-2E9C-101B-9397-08002B2CF9AE}" pid="3" name="ContentTypeId">
    <vt:lpwstr>0x0101004F15A52AE31FEC4EB9E74AAFCF7B6AD7</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