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AE35B" w14:textId="77777777" w:rsidR="00FF4085" w:rsidRPr="00E97443" w:rsidRDefault="00744EC7" w:rsidP="00E97443">
      <w:pPr>
        <w:rPr>
          <w:rFonts w:asciiTheme="majorHAnsi" w:hAnsiTheme="majorHAnsi" w:cstheme="majorHAnsi"/>
          <w:b/>
          <w:bCs/>
          <w:sz w:val="36"/>
          <w:szCs w:val="36"/>
        </w:rPr>
      </w:pPr>
      <w:bookmarkStart w:id="0" w:name="_n8ds93jh57iu" w:colFirst="0" w:colLast="0"/>
      <w:bookmarkEnd w:id="0"/>
      <w:r w:rsidRPr="00E97443">
        <w:rPr>
          <w:rFonts w:asciiTheme="majorHAnsi" w:hAnsiTheme="majorHAnsi" w:cstheme="majorHAnsi"/>
          <w:b/>
          <w:bCs/>
          <w:sz w:val="36"/>
          <w:szCs w:val="36"/>
        </w:rPr>
        <w:t>Coaching Questions for Building a High Participation Local</w:t>
      </w:r>
    </w:p>
    <w:p w14:paraId="07FAE35C" w14:textId="77777777" w:rsidR="00FF4085" w:rsidRPr="00E97443" w:rsidRDefault="00744EC7">
      <w:pPr>
        <w:pStyle w:val="Heading2"/>
        <w:rPr>
          <w:rFonts w:asciiTheme="majorHAnsi" w:hAnsiTheme="majorHAnsi" w:cstheme="majorHAnsi"/>
          <w:sz w:val="24"/>
          <w:szCs w:val="24"/>
        </w:rPr>
      </w:pPr>
      <w:bookmarkStart w:id="1" w:name="_4p84jm7mv81b" w:colFirst="0" w:colLast="0"/>
      <w:bookmarkEnd w:id="1"/>
      <w:r w:rsidRPr="00E97443">
        <w:rPr>
          <w:rFonts w:asciiTheme="majorHAnsi" w:hAnsiTheme="majorHAnsi" w:cstheme="majorHAnsi"/>
          <w:sz w:val="24"/>
          <w:szCs w:val="24"/>
        </w:rPr>
        <w:t>Purpose</w:t>
      </w:r>
    </w:p>
    <w:p w14:paraId="07FAE35D" w14:textId="77777777" w:rsidR="00FF4085" w:rsidRPr="00E97443" w:rsidRDefault="00744EC7">
      <w:pPr>
        <w:rPr>
          <w:rFonts w:asciiTheme="majorHAnsi" w:hAnsiTheme="majorHAnsi" w:cstheme="majorHAnsi"/>
        </w:rPr>
      </w:pPr>
      <w:r w:rsidRPr="00E97443">
        <w:rPr>
          <w:rFonts w:asciiTheme="majorHAnsi" w:hAnsiTheme="majorHAnsi" w:cstheme="majorHAnsi"/>
        </w:rPr>
        <w:t>The purpose of these coaching questions is not simply to improve assessment scores. The goal is to help local leaders identify how to build broader participation, stronger worksite structures, deeper leadership development, and greater collective power. A high participation local develops members, distributes responsibility, removes barriers to engagement, and creates conditions where members increasingly own the work of the union.</w:t>
      </w:r>
    </w:p>
    <w:p w14:paraId="07FAE35F" w14:textId="77777777" w:rsidR="00FF4085" w:rsidRPr="00E97443" w:rsidRDefault="00744EC7">
      <w:pPr>
        <w:pStyle w:val="Heading2"/>
        <w:rPr>
          <w:rFonts w:asciiTheme="majorHAnsi" w:hAnsiTheme="majorHAnsi" w:cstheme="majorHAnsi"/>
          <w:sz w:val="24"/>
          <w:szCs w:val="24"/>
        </w:rPr>
      </w:pPr>
      <w:bookmarkStart w:id="2" w:name="_3sc8vtk7kh9q" w:colFirst="0" w:colLast="0"/>
      <w:bookmarkEnd w:id="2"/>
      <w:r w:rsidRPr="00E97443">
        <w:rPr>
          <w:rFonts w:asciiTheme="majorHAnsi" w:hAnsiTheme="majorHAnsi" w:cstheme="majorHAnsi"/>
          <w:sz w:val="24"/>
          <w:szCs w:val="24"/>
        </w:rPr>
        <w:t>1. School Site Leaders &amp; Contract Action Teams</w:t>
      </w:r>
    </w:p>
    <w:p w14:paraId="07FAE360"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are building representatives currently handling Level 1 grievances, and what training or mindset shifts are needed to help them resolve workplace issues directly with their principals rather than referring them to union staff?</w:t>
      </w:r>
    </w:p>
    <w:p w14:paraId="07FAE361"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Does every school building have a functional Contract Action Team (CAT) or Site Organizing Squad operating on a 1-to-10 ratio, and how do you monitor communication coverage across grade levels and departments?</w:t>
      </w:r>
    </w:p>
    <w:p w14:paraId="07FAE362"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intentionally are you identifying organic leaders across all job classifications, shift schedules, races, and linguistic backgrounds to ensure your building leadership reflects the full diversity of campus staff?</w:t>
      </w:r>
    </w:p>
    <w:p w14:paraId="07FAE363" w14:textId="77777777" w:rsidR="00FF4085" w:rsidRPr="00E97443" w:rsidRDefault="00744EC7">
      <w:pPr>
        <w:pStyle w:val="Heading2"/>
        <w:rPr>
          <w:rFonts w:asciiTheme="majorHAnsi" w:hAnsiTheme="majorHAnsi" w:cstheme="majorHAnsi"/>
          <w:sz w:val="24"/>
          <w:szCs w:val="24"/>
        </w:rPr>
      </w:pPr>
      <w:bookmarkStart w:id="3" w:name="_7npvb8lcui7x" w:colFirst="0" w:colLast="0"/>
      <w:bookmarkEnd w:id="3"/>
      <w:r w:rsidRPr="00E97443">
        <w:rPr>
          <w:rFonts w:asciiTheme="majorHAnsi" w:hAnsiTheme="majorHAnsi" w:cstheme="majorHAnsi"/>
          <w:sz w:val="24"/>
          <w:szCs w:val="24"/>
        </w:rPr>
        <w:t>2. The Union Staff Role</w:t>
      </w:r>
    </w:p>
    <w:p w14:paraId="07FAE364"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much of your field staff’s time is spent solving individual member issues versus coaching rank-and-file members to lead their own site campaigns?</w:t>
      </w:r>
    </w:p>
    <w:p w14:paraId="07FAE365"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Which staff habits or systems currently help develop independent member leadership, and which reinforce member dependency on staff?</w:t>
      </w:r>
    </w:p>
    <w:p w14:paraId="07FAE366"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 xml:space="preserve">What structural boundaries can you put in </w:t>
      </w:r>
      <w:proofErr w:type="gramStart"/>
      <w:r w:rsidRPr="00E97443">
        <w:rPr>
          <w:rFonts w:asciiTheme="majorHAnsi" w:hAnsiTheme="majorHAnsi" w:cstheme="majorHAnsi"/>
        </w:rPr>
        <w:t>place—</w:t>
      </w:r>
      <w:proofErr w:type="gramEnd"/>
      <w:r w:rsidRPr="00E97443">
        <w:rPr>
          <w:rFonts w:asciiTheme="majorHAnsi" w:hAnsiTheme="majorHAnsi" w:cstheme="majorHAnsi"/>
        </w:rPr>
        <w:t>such as dedicated servicing roles versus field organizers—to protect staff capacity for long-term building organizing?</w:t>
      </w:r>
    </w:p>
    <w:p w14:paraId="07FAE367"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are staff trained to analyze grievance trends and data through an equity lens to identify systemic workplace inequities across job titles or underrepresented groups?</w:t>
      </w:r>
    </w:p>
    <w:p w14:paraId="07FAE368" w14:textId="77777777" w:rsidR="00FF4085" w:rsidRPr="00E97443" w:rsidRDefault="00744EC7">
      <w:pPr>
        <w:pStyle w:val="Heading2"/>
        <w:rPr>
          <w:rFonts w:asciiTheme="majorHAnsi" w:hAnsiTheme="majorHAnsi" w:cstheme="majorHAnsi"/>
          <w:sz w:val="24"/>
          <w:szCs w:val="24"/>
        </w:rPr>
      </w:pPr>
      <w:bookmarkStart w:id="4" w:name="_xha6lwmap26h" w:colFirst="0" w:colLast="0"/>
      <w:bookmarkEnd w:id="4"/>
      <w:r w:rsidRPr="00E97443">
        <w:rPr>
          <w:rFonts w:asciiTheme="majorHAnsi" w:hAnsiTheme="majorHAnsi" w:cstheme="majorHAnsi"/>
          <w:sz w:val="24"/>
          <w:szCs w:val="24"/>
        </w:rPr>
        <w:t>3. Valley Work (Non-Bargaining Lulls)</w:t>
      </w:r>
    </w:p>
    <w:p w14:paraId="07FAE369"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When a contract campaign ends, how does the local maintain site structure and redirect CATs toward local contract enforcement and daily workplace issues?</w:t>
      </w:r>
    </w:p>
    <w:p w14:paraId="07FAE36A"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What continuous, mobile training opportunities (such as bringing workshops directly to school lunchrooms or libraries) are offered during lulls to build ongoing rank-and-file literacy?</w:t>
      </w:r>
    </w:p>
    <w:p w14:paraId="07FAE36B"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lastRenderedPageBreak/>
        <w:t>Equity Focus:</w:t>
      </w:r>
      <w:r w:rsidRPr="00E97443">
        <w:rPr>
          <w:rFonts w:asciiTheme="majorHAnsi" w:hAnsiTheme="majorHAnsi" w:cstheme="majorHAnsi"/>
        </w:rPr>
        <w:t xml:space="preserve"> How are you utilizing non-bargaining "valleys" to invest in non-transactional, permanent alliances with local civil rights, racial justice, and immigrant rights organizations before a crisis occurs?</w:t>
      </w:r>
    </w:p>
    <w:p w14:paraId="07FAE36C" w14:textId="77777777" w:rsidR="00FF4085" w:rsidRPr="00E97443" w:rsidRDefault="00744EC7">
      <w:pPr>
        <w:pStyle w:val="Heading2"/>
        <w:rPr>
          <w:rFonts w:asciiTheme="majorHAnsi" w:hAnsiTheme="majorHAnsi" w:cstheme="majorHAnsi"/>
          <w:sz w:val="24"/>
          <w:szCs w:val="24"/>
        </w:rPr>
      </w:pPr>
      <w:bookmarkStart w:id="5" w:name="_rkbrxrguaf3p" w:colFirst="0" w:colLast="0"/>
      <w:bookmarkEnd w:id="5"/>
      <w:r w:rsidRPr="00E97443">
        <w:rPr>
          <w:rFonts w:asciiTheme="majorHAnsi" w:hAnsiTheme="majorHAnsi" w:cstheme="majorHAnsi"/>
          <w:sz w:val="24"/>
          <w:szCs w:val="24"/>
        </w:rPr>
        <w:t>4. Collective Bargaining in High-Participation Locals</w:t>
      </w:r>
    </w:p>
    <w:p w14:paraId="07FAE36D"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What steps are you taking to reject closed-door ground rules and build radical transparency (e.g., plain-language proposals, site observer programs, post-session video debriefs)?</w:t>
      </w:r>
    </w:p>
    <w:p w14:paraId="07FAE36E"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are parent, student, and community priorities integrated directly into your contract platform to fight for "common good" demands alongside standard educator needs?</w:t>
      </w:r>
    </w:p>
    <w:p w14:paraId="07FAE36F"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does your bargaining structure ensure that historically marginalized job classifications (such as ESPs, classified staff, or temporary workers) have direct, proportional representation and decision-making power at the table?</w:t>
      </w:r>
    </w:p>
    <w:p w14:paraId="07FAE370" w14:textId="77777777" w:rsidR="00FF4085" w:rsidRPr="00E97443" w:rsidRDefault="00744EC7">
      <w:pPr>
        <w:pStyle w:val="Heading2"/>
        <w:rPr>
          <w:rFonts w:asciiTheme="majorHAnsi" w:hAnsiTheme="majorHAnsi" w:cstheme="majorHAnsi"/>
          <w:sz w:val="24"/>
          <w:szCs w:val="24"/>
        </w:rPr>
      </w:pPr>
      <w:bookmarkStart w:id="6" w:name="_9hkr14w4edq6" w:colFirst="0" w:colLast="0"/>
      <w:bookmarkEnd w:id="6"/>
      <w:r w:rsidRPr="00E97443">
        <w:rPr>
          <w:rFonts w:asciiTheme="majorHAnsi" w:hAnsiTheme="majorHAnsi" w:cstheme="majorHAnsi"/>
          <w:sz w:val="24"/>
          <w:szCs w:val="24"/>
        </w:rPr>
        <w:t>5. Being a President of a High-Participation Local</w:t>
      </w:r>
    </w:p>
    <w:p w14:paraId="07FAE371"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As president, what administrative or Level 1 representational tasks can you delegate so you can focus on strategic coordination, political diplomacy, and geographic turf visits?</w:t>
      </w:r>
    </w:p>
    <w:p w14:paraId="07FAE372"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strictly are you acting as the "gatekeeper" of the strategic plan to ensure that unaligned requests or passive expenditures do not derail core organizing priorities?</w:t>
      </w:r>
    </w:p>
    <w:p w14:paraId="07FAE373"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Are officers and executive board members primarily measured by what they personally accomplish, or by the new leaders they develop?</w:t>
      </w:r>
    </w:p>
    <w:p w14:paraId="07FAE374"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are you actively disrupting historical patterns of leadership succession to mentor, recruit, and share organizational power with members from underrepresented social and job groups?</w:t>
      </w:r>
    </w:p>
    <w:p w14:paraId="07FAE375" w14:textId="77777777" w:rsidR="00FF4085" w:rsidRPr="00E97443" w:rsidRDefault="00744EC7">
      <w:pPr>
        <w:pStyle w:val="Heading2"/>
        <w:rPr>
          <w:rFonts w:asciiTheme="majorHAnsi" w:hAnsiTheme="majorHAnsi" w:cstheme="majorHAnsi"/>
          <w:sz w:val="24"/>
          <w:szCs w:val="24"/>
        </w:rPr>
      </w:pPr>
      <w:bookmarkStart w:id="7" w:name="_jwxc7vqsi7w" w:colFirst="0" w:colLast="0"/>
      <w:bookmarkEnd w:id="7"/>
      <w:r w:rsidRPr="00E97443">
        <w:rPr>
          <w:rFonts w:asciiTheme="majorHAnsi" w:hAnsiTheme="majorHAnsi" w:cstheme="majorHAnsi"/>
          <w:sz w:val="24"/>
          <w:szCs w:val="24"/>
        </w:rPr>
        <w:t>6. How High-Participation Locals Use Data to Build Power</w:t>
      </w:r>
    </w:p>
    <w:p w14:paraId="07FAE376"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 xml:space="preserve">How decentralized is your data collection—can </w:t>
      </w:r>
      <w:proofErr w:type="gramStart"/>
      <w:r w:rsidRPr="00E97443">
        <w:rPr>
          <w:rFonts w:asciiTheme="majorHAnsi" w:hAnsiTheme="majorHAnsi" w:cstheme="majorHAnsi"/>
        </w:rPr>
        <w:t>building</w:t>
      </w:r>
      <w:proofErr w:type="gramEnd"/>
      <w:r w:rsidRPr="00E97443">
        <w:rPr>
          <w:rFonts w:asciiTheme="majorHAnsi" w:hAnsiTheme="majorHAnsi" w:cstheme="majorHAnsi"/>
        </w:rPr>
        <w:t xml:space="preserve"> reps and CAT leads </w:t>
      </w:r>
      <w:proofErr w:type="gramStart"/>
      <w:r w:rsidRPr="00E97443">
        <w:rPr>
          <w:rFonts w:asciiTheme="majorHAnsi" w:hAnsiTheme="majorHAnsi" w:cstheme="majorHAnsi"/>
        </w:rPr>
        <w:t>update</w:t>
      </w:r>
      <w:proofErr w:type="gramEnd"/>
      <w:r w:rsidRPr="00E97443">
        <w:rPr>
          <w:rFonts w:asciiTheme="majorHAnsi" w:hAnsiTheme="majorHAnsi" w:cstheme="majorHAnsi"/>
        </w:rPr>
        <w:t xml:space="preserve"> site mapping and turnout metrics directly in real time?</w:t>
      </w:r>
    </w:p>
    <w:p w14:paraId="07FAE377"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are quantitative structure-test results evaluated as mathematical "gates" to confirm supermajority readiness before escalating to a higher-stakes action?</w:t>
      </w:r>
    </w:p>
    <w:p w14:paraId="07FAE378"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When reviewing digital wall-charts (such as Action Builder or </w:t>
      </w:r>
      <w:proofErr w:type="spellStart"/>
      <w:r w:rsidRPr="00E97443">
        <w:rPr>
          <w:rFonts w:asciiTheme="majorHAnsi" w:hAnsiTheme="majorHAnsi" w:cstheme="majorHAnsi"/>
        </w:rPr>
        <w:t>OrgDB</w:t>
      </w:r>
      <w:proofErr w:type="spellEnd"/>
      <w:r w:rsidRPr="00E97443">
        <w:rPr>
          <w:rFonts w:asciiTheme="majorHAnsi" w:hAnsiTheme="majorHAnsi" w:cstheme="majorHAnsi"/>
        </w:rPr>
        <w:t>), how do you disaggregate participation data to spot engagement gaps across specific job titles, worksites, or demographic groups?</w:t>
      </w:r>
    </w:p>
    <w:p w14:paraId="07FAE379" w14:textId="77777777" w:rsidR="00FF4085" w:rsidRPr="00E97443" w:rsidRDefault="00744EC7">
      <w:pPr>
        <w:pStyle w:val="Heading2"/>
        <w:rPr>
          <w:rFonts w:asciiTheme="majorHAnsi" w:hAnsiTheme="majorHAnsi" w:cstheme="majorHAnsi"/>
          <w:sz w:val="24"/>
          <w:szCs w:val="24"/>
        </w:rPr>
      </w:pPr>
      <w:bookmarkStart w:id="8" w:name="_kz9dc1gdg6uk" w:colFirst="0" w:colLast="0"/>
      <w:bookmarkEnd w:id="8"/>
      <w:r w:rsidRPr="00E97443">
        <w:rPr>
          <w:rFonts w:asciiTheme="majorHAnsi" w:hAnsiTheme="majorHAnsi" w:cstheme="majorHAnsi"/>
          <w:sz w:val="24"/>
          <w:szCs w:val="24"/>
        </w:rPr>
        <w:t>7. How High-Participation Locals Train Their Members</w:t>
      </w:r>
    </w:p>
    <w:p w14:paraId="07FAE37A"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does your training program move leaders through a deliberate "gradual release" model—from staff co-leading early actions to rank-and-file members running fully autonomous campaigns?</w:t>
      </w:r>
    </w:p>
    <w:p w14:paraId="07FAE37B"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lastRenderedPageBreak/>
        <w:t>What structured, core skill-building frameworks (such as Structured Organizing Conversations and 1:1 listening rules) are standard across all leadership cohorts?</w:t>
      </w:r>
    </w:p>
    <w:p w14:paraId="07FAE37C"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do specific logistics—such as meeting times, childcare responsibilities, language accessibility, shift schedules, or transportation—affect who can access training, and what assumptions are we making about who is available to lead?</w:t>
      </w:r>
    </w:p>
    <w:p w14:paraId="07FAE37D" w14:textId="77777777" w:rsidR="00FF4085" w:rsidRPr="00E97443" w:rsidRDefault="00744EC7">
      <w:pPr>
        <w:pStyle w:val="Heading2"/>
        <w:rPr>
          <w:rFonts w:asciiTheme="majorHAnsi" w:hAnsiTheme="majorHAnsi" w:cstheme="majorHAnsi"/>
          <w:sz w:val="24"/>
          <w:szCs w:val="24"/>
        </w:rPr>
      </w:pPr>
      <w:bookmarkStart w:id="9" w:name="_2uh98slmx5og" w:colFirst="0" w:colLast="0"/>
      <w:bookmarkEnd w:id="9"/>
      <w:r w:rsidRPr="00E97443">
        <w:rPr>
          <w:rFonts w:asciiTheme="majorHAnsi" w:hAnsiTheme="majorHAnsi" w:cstheme="majorHAnsi"/>
          <w:sz w:val="24"/>
          <w:szCs w:val="24"/>
        </w:rPr>
        <w:t>8. Overcoming "Respectability Politics" and the Fear of Conflict</w:t>
      </w:r>
    </w:p>
    <w:p w14:paraId="07FAE37E"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Where is the local defaulting to "respectability politics"—hoping closed-door administrative meetings will solve systemic issues—rather than building visible workplace leverage?</w:t>
      </w:r>
    </w:p>
    <w:p w14:paraId="07FAE37F"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do site leaders frame collective actions to ensure the local isn't settling for symbolic "moral victories," but instead forcing concrete policy or resource changes?</w:t>
      </w:r>
    </w:p>
    <w:p w14:paraId="07FAE380"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do your 1:10 CAT networks build collective protection for vulnerable workers (such as non-tenured staff or immigrant educators) who face disproportionate retaliation when challenging authority?</w:t>
      </w:r>
    </w:p>
    <w:p w14:paraId="07FAE381" w14:textId="77777777" w:rsidR="00FF4085" w:rsidRPr="00E97443" w:rsidRDefault="00744EC7">
      <w:pPr>
        <w:pStyle w:val="Heading2"/>
        <w:rPr>
          <w:rFonts w:asciiTheme="majorHAnsi" w:hAnsiTheme="majorHAnsi" w:cstheme="majorHAnsi"/>
          <w:sz w:val="24"/>
          <w:szCs w:val="24"/>
        </w:rPr>
      </w:pPr>
      <w:bookmarkStart w:id="10" w:name="_u5rydq8z2ek" w:colFirst="0" w:colLast="0"/>
      <w:bookmarkEnd w:id="10"/>
      <w:r w:rsidRPr="00E97443">
        <w:rPr>
          <w:rFonts w:asciiTheme="majorHAnsi" w:hAnsiTheme="majorHAnsi" w:cstheme="majorHAnsi"/>
          <w:sz w:val="24"/>
          <w:szCs w:val="24"/>
        </w:rPr>
        <w:t>9. Defensive Organizing &amp; Anti-Authoritarian Protection</w:t>
      </w:r>
    </w:p>
    <w:p w14:paraId="07FAE382"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ready is your site-level CAT communication network to mobilize rapidly in defense of community, student, or civil rights threats outside standard contract issues?</w:t>
      </w:r>
    </w:p>
    <w:p w14:paraId="07FAE383"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 xml:space="preserve">How </w:t>
      </w:r>
      <w:proofErr w:type="gramStart"/>
      <w:r w:rsidRPr="00E97443">
        <w:rPr>
          <w:rFonts w:asciiTheme="majorHAnsi" w:hAnsiTheme="majorHAnsi" w:cstheme="majorHAnsi"/>
        </w:rPr>
        <w:t>is</w:t>
      </w:r>
      <w:proofErr w:type="gramEnd"/>
      <w:r w:rsidRPr="00E97443">
        <w:rPr>
          <w:rFonts w:asciiTheme="majorHAnsi" w:hAnsiTheme="majorHAnsi" w:cstheme="majorHAnsi"/>
        </w:rPr>
        <w:t xml:space="preserve"> the local utilizing scenario planning or tabletop exercises with community coalition partners to prepare for broader political or legal crises?</w:t>
      </w:r>
    </w:p>
    <w:p w14:paraId="07FAE384"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What concrete rapid-response protocols (such as ICE defense networks, safe-space protections for LGBTQ+ youth, or sanctuary school policies) exist to protect the most vulnerable members of your school community?</w:t>
      </w:r>
    </w:p>
    <w:p w14:paraId="07FAE385" w14:textId="77777777" w:rsidR="00FF4085" w:rsidRPr="00E97443" w:rsidRDefault="00744EC7">
      <w:pPr>
        <w:pStyle w:val="Heading2"/>
        <w:rPr>
          <w:rFonts w:asciiTheme="majorHAnsi" w:hAnsiTheme="majorHAnsi" w:cstheme="majorHAnsi"/>
          <w:sz w:val="24"/>
          <w:szCs w:val="24"/>
        </w:rPr>
      </w:pPr>
      <w:bookmarkStart w:id="11" w:name="_9o2p6q8ftl2a" w:colFirst="0" w:colLast="0"/>
      <w:bookmarkEnd w:id="11"/>
      <w:r w:rsidRPr="00E97443">
        <w:rPr>
          <w:rFonts w:asciiTheme="majorHAnsi" w:hAnsiTheme="majorHAnsi" w:cstheme="majorHAnsi"/>
          <w:sz w:val="24"/>
          <w:szCs w:val="24"/>
        </w:rPr>
        <w:t>10. The Strategic Plan—Guarding the Roadmap and Building Coherence</w:t>
      </w:r>
    </w:p>
    <w:p w14:paraId="07FAE386"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Does the local have a clear, co-created strategic plan distilled into an accessible roadmap that every leader and site rep understands?</w:t>
      </w:r>
    </w:p>
    <w:p w14:paraId="07FAE387"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How clearly does your leadership team distinguish between internal structure-building campaigns (building capacity) and external issue campaigns (expending leverage)?</w:t>
      </w:r>
    </w:p>
    <w:p w14:paraId="07FAE388"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What sustainable organizing systems need to be built within this strategic plan, rather than relying on the heroic effort of individual leaders?</w:t>
      </w:r>
    </w:p>
    <w:p w14:paraId="07FAE389"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How were members most impacted by structural inequities involved in co-creating the strategic plan, and how is equity used as a lens to evaluate resource allocation in that roadmap?</w:t>
      </w:r>
    </w:p>
    <w:p w14:paraId="07FAE38A" w14:textId="77777777" w:rsidR="00FF4085" w:rsidRPr="00E97443" w:rsidRDefault="00744EC7">
      <w:pPr>
        <w:pStyle w:val="Heading2"/>
        <w:rPr>
          <w:rFonts w:asciiTheme="majorHAnsi" w:hAnsiTheme="majorHAnsi" w:cstheme="majorHAnsi"/>
          <w:sz w:val="24"/>
          <w:szCs w:val="24"/>
        </w:rPr>
      </w:pPr>
      <w:bookmarkStart w:id="12" w:name="_8ka9u26lrrfo" w:colFirst="0" w:colLast="0"/>
      <w:bookmarkEnd w:id="12"/>
      <w:r w:rsidRPr="00E97443">
        <w:rPr>
          <w:rFonts w:asciiTheme="majorHAnsi" w:hAnsiTheme="majorHAnsi" w:cstheme="majorHAnsi"/>
          <w:sz w:val="24"/>
          <w:szCs w:val="24"/>
        </w:rPr>
        <w:lastRenderedPageBreak/>
        <w:t>11. Methodical Structure Tests—Measuring Member Readiness</w:t>
      </w:r>
    </w:p>
    <w:p w14:paraId="07FAE38B"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What escalating sequence of structure tests (e.g., platform pledges, dress/button days, face-to-face vote commitments) do you require before moving to high-stakes escalations?</w:t>
      </w:r>
    </w:p>
    <w:p w14:paraId="07FAE38C" w14:textId="77777777" w:rsidR="00FF4085" w:rsidRPr="00E97443" w:rsidRDefault="00744EC7">
      <w:pPr>
        <w:numPr>
          <w:ilvl w:val="0"/>
          <w:numId w:val="1"/>
        </w:numPr>
        <w:rPr>
          <w:rFonts w:asciiTheme="majorHAnsi" w:hAnsiTheme="majorHAnsi" w:cstheme="majorHAnsi"/>
        </w:rPr>
      </w:pPr>
      <w:r w:rsidRPr="00E97443">
        <w:rPr>
          <w:rFonts w:asciiTheme="majorHAnsi" w:hAnsiTheme="majorHAnsi" w:cstheme="majorHAnsi"/>
        </w:rPr>
        <w:t xml:space="preserve">Why </w:t>
      </w:r>
      <w:proofErr w:type="gramStart"/>
      <w:r w:rsidRPr="00E97443">
        <w:rPr>
          <w:rFonts w:asciiTheme="majorHAnsi" w:hAnsiTheme="majorHAnsi" w:cstheme="majorHAnsi"/>
        </w:rPr>
        <w:t>does</w:t>
      </w:r>
      <w:proofErr w:type="gramEnd"/>
      <w:r w:rsidRPr="00E97443">
        <w:rPr>
          <w:rFonts w:asciiTheme="majorHAnsi" w:hAnsiTheme="majorHAnsi" w:cstheme="majorHAnsi"/>
        </w:rPr>
        <w:t xml:space="preserve"> the </w:t>
      </w:r>
      <w:proofErr w:type="gramStart"/>
      <w:r w:rsidRPr="00E97443">
        <w:rPr>
          <w:rFonts w:asciiTheme="majorHAnsi" w:hAnsiTheme="majorHAnsi" w:cstheme="majorHAnsi"/>
        </w:rPr>
        <w:t>local</w:t>
      </w:r>
      <w:proofErr w:type="gramEnd"/>
      <w:r w:rsidRPr="00E97443">
        <w:rPr>
          <w:rFonts w:asciiTheme="majorHAnsi" w:hAnsiTheme="majorHAnsi" w:cstheme="majorHAnsi"/>
        </w:rPr>
        <w:t xml:space="preserve"> prioritize physical paper petitions and 1:1 face-to-face organizing </w:t>
      </w:r>
      <w:proofErr w:type="gramStart"/>
      <w:r w:rsidRPr="00E97443">
        <w:rPr>
          <w:rFonts w:asciiTheme="majorHAnsi" w:hAnsiTheme="majorHAnsi" w:cstheme="majorHAnsi"/>
        </w:rPr>
        <w:t>conversations</w:t>
      </w:r>
      <w:proofErr w:type="gramEnd"/>
      <w:r w:rsidRPr="00E97443">
        <w:rPr>
          <w:rFonts w:asciiTheme="majorHAnsi" w:hAnsiTheme="majorHAnsi" w:cstheme="majorHAnsi"/>
        </w:rPr>
        <w:t xml:space="preserve"> over passive online forms or surveys?</w:t>
      </w:r>
    </w:p>
    <w:p w14:paraId="07FAE38D" w14:textId="77777777" w:rsidR="00FF4085" w:rsidRDefault="00744EC7">
      <w:pPr>
        <w:numPr>
          <w:ilvl w:val="0"/>
          <w:numId w:val="1"/>
        </w:numPr>
        <w:rPr>
          <w:rFonts w:asciiTheme="majorHAnsi" w:hAnsiTheme="majorHAnsi" w:cstheme="majorHAnsi"/>
        </w:rPr>
      </w:pPr>
      <w:r w:rsidRPr="00E97443">
        <w:rPr>
          <w:rFonts w:asciiTheme="majorHAnsi" w:hAnsiTheme="majorHAnsi" w:cstheme="majorHAnsi"/>
          <w:b/>
          <w:bCs/>
        </w:rPr>
        <w:t>Equity Focus:</w:t>
      </w:r>
      <w:r w:rsidRPr="00E97443">
        <w:rPr>
          <w:rFonts w:asciiTheme="majorHAnsi" w:hAnsiTheme="majorHAnsi" w:cstheme="majorHAnsi"/>
        </w:rPr>
        <w:t xml:space="preserve"> When evaluating whether a structure test meets your majoritarian threshold (e.g., 70%–80%+ active participation), how do you ensure that threshold is met across </w:t>
      </w:r>
      <w:r w:rsidRPr="00E97443">
        <w:rPr>
          <w:rFonts w:asciiTheme="majorHAnsi" w:hAnsiTheme="majorHAnsi" w:cstheme="majorHAnsi"/>
          <w:i/>
          <w:iCs/>
        </w:rPr>
        <w:t>all</w:t>
      </w:r>
      <w:r w:rsidRPr="00E97443">
        <w:rPr>
          <w:rFonts w:asciiTheme="majorHAnsi" w:hAnsiTheme="majorHAnsi" w:cstheme="majorHAnsi"/>
        </w:rPr>
        <w:t xml:space="preserve"> job classifications and buildings, rather than driven primarily by privileged or high-density sites?</w:t>
      </w:r>
    </w:p>
    <w:p w14:paraId="60CD9575" w14:textId="77777777" w:rsidR="00E97443" w:rsidRPr="00E97443" w:rsidRDefault="00E97443" w:rsidP="00E97443">
      <w:pPr>
        <w:ind w:left="720"/>
        <w:rPr>
          <w:rFonts w:asciiTheme="majorHAnsi" w:hAnsiTheme="majorHAnsi" w:cstheme="majorHAnsi"/>
        </w:rPr>
      </w:pPr>
    </w:p>
    <w:p w14:paraId="246E851B" w14:textId="77777777" w:rsidR="00E97443" w:rsidRDefault="00E97443" w:rsidP="00E97443">
      <w:pPr>
        <w:pStyle w:val="ListBullet"/>
        <w:numPr>
          <w:ilvl w:val="0"/>
          <w:numId w:val="0"/>
        </w:numPr>
        <w:spacing w:after="70"/>
        <w:rPr>
          <w:rFonts w:asciiTheme="majorHAnsi" w:hAnsiTheme="majorHAnsi" w:cstheme="majorHAnsi"/>
          <w:color w:val="000000" w:themeColor="text1"/>
          <w:sz w:val="24"/>
          <w:szCs w:val="24"/>
        </w:rPr>
      </w:pPr>
      <w:bookmarkStart w:id="13" w:name="_n1vif6ide4ag" w:colFirst="0" w:colLast="0"/>
      <w:bookmarkEnd w:id="13"/>
      <w:r w:rsidRPr="002F2B11">
        <w:rPr>
          <w:rFonts w:asciiTheme="majorHAnsi" w:hAnsiTheme="majorHAnsi" w:cstheme="majorHAnsi"/>
          <w:b/>
          <w:color w:val="000000" w:themeColor="text1"/>
          <w:sz w:val="24"/>
          <w:szCs w:val="24"/>
        </w:rPr>
        <w:t xml:space="preserve">1. Our greatest organizational strengths are: </w:t>
      </w:r>
    </w:p>
    <w:tbl>
      <w:tblPr>
        <w:tblStyle w:val="TableGrid"/>
        <w:tblW w:w="10212" w:type="dxa"/>
        <w:tblLook w:val="04A0" w:firstRow="1" w:lastRow="0" w:firstColumn="1" w:lastColumn="0" w:noHBand="0" w:noVBand="1"/>
      </w:tblPr>
      <w:tblGrid>
        <w:gridCol w:w="10212"/>
      </w:tblGrid>
      <w:tr w:rsidR="00E97443" w14:paraId="5B7E66AE" w14:textId="77777777" w:rsidTr="00351680">
        <w:trPr>
          <w:trHeight w:val="466"/>
        </w:trPr>
        <w:tc>
          <w:tcPr>
            <w:tcW w:w="10212" w:type="dxa"/>
          </w:tcPr>
          <w:p w14:paraId="3EF516F4" w14:textId="77777777" w:rsidR="00E97443" w:rsidRDefault="00E97443" w:rsidP="00351680">
            <w:pPr>
              <w:pStyle w:val="ListBullet"/>
              <w:numPr>
                <w:ilvl w:val="0"/>
                <w:numId w:val="0"/>
              </w:numPr>
              <w:spacing w:after="70"/>
              <w:rPr>
                <w:rFonts w:asciiTheme="majorHAnsi" w:hAnsiTheme="majorHAnsi" w:cstheme="majorHAnsi"/>
                <w:color w:val="000000" w:themeColor="text1"/>
                <w:sz w:val="24"/>
                <w:szCs w:val="24"/>
              </w:rPr>
            </w:pPr>
          </w:p>
        </w:tc>
      </w:tr>
    </w:tbl>
    <w:p w14:paraId="1B360B76"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p>
    <w:p w14:paraId="03627713" w14:textId="77777777" w:rsidR="00E97443" w:rsidRDefault="00E97443" w:rsidP="00E97443">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2. Our most significant capacity bottlenecks are: </w:t>
      </w:r>
    </w:p>
    <w:tbl>
      <w:tblPr>
        <w:tblStyle w:val="TableGrid"/>
        <w:tblW w:w="0" w:type="auto"/>
        <w:tblLook w:val="04A0" w:firstRow="1" w:lastRow="0" w:firstColumn="1" w:lastColumn="0" w:noHBand="0" w:noVBand="1"/>
      </w:tblPr>
      <w:tblGrid>
        <w:gridCol w:w="10152"/>
      </w:tblGrid>
      <w:tr w:rsidR="00E97443" w14:paraId="645CE742" w14:textId="77777777" w:rsidTr="00351680">
        <w:trPr>
          <w:trHeight w:val="539"/>
        </w:trPr>
        <w:tc>
          <w:tcPr>
            <w:tcW w:w="10152" w:type="dxa"/>
          </w:tcPr>
          <w:p w14:paraId="737ED922" w14:textId="77777777" w:rsidR="00E97443" w:rsidRDefault="00E97443" w:rsidP="00351680">
            <w:pPr>
              <w:pStyle w:val="ListBullet"/>
              <w:numPr>
                <w:ilvl w:val="0"/>
                <w:numId w:val="0"/>
              </w:numPr>
              <w:spacing w:after="70"/>
              <w:rPr>
                <w:rFonts w:asciiTheme="majorHAnsi" w:hAnsiTheme="majorHAnsi" w:cstheme="majorHAnsi"/>
                <w:color w:val="000000" w:themeColor="text1"/>
                <w:sz w:val="24"/>
                <w:szCs w:val="24"/>
              </w:rPr>
            </w:pPr>
          </w:p>
        </w:tc>
      </w:tr>
    </w:tbl>
    <w:p w14:paraId="5B20BD32"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p>
    <w:p w14:paraId="1207086D" w14:textId="77777777" w:rsidR="00E97443" w:rsidRDefault="00E97443" w:rsidP="00E97443">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3. The emerging rank-and-file leaders we must intentionally develop are: </w:t>
      </w:r>
    </w:p>
    <w:tbl>
      <w:tblPr>
        <w:tblStyle w:val="TableGrid"/>
        <w:tblW w:w="0" w:type="auto"/>
        <w:tblLook w:val="04A0" w:firstRow="1" w:lastRow="0" w:firstColumn="1" w:lastColumn="0" w:noHBand="0" w:noVBand="1"/>
      </w:tblPr>
      <w:tblGrid>
        <w:gridCol w:w="10152"/>
      </w:tblGrid>
      <w:tr w:rsidR="00E97443" w14:paraId="130C06D6" w14:textId="77777777" w:rsidTr="00351680">
        <w:trPr>
          <w:trHeight w:val="575"/>
        </w:trPr>
        <w:tc>
          <w:tcPr>
            <w:tcW w:w="10152" w:type="dxa"/>
          </w:tcPr>
          <w:p w14:paraId="32DAE83C" w14:textId="77777777" w:rsidR="00E97443" w:rsidRDefault="00E97443" w:rsidP="00351680">
            <w:pPr>
              <w:pStyle w:val="ListBullet"/>
              <w:numPr>
                <w:ilvl w:val="0"/>
                <w:numId w:val="0"/>
              </w:numPr>
              <w:spacing w:after="70"/>
              <w:rPr>
                <w:rFonts w:asciiTheme="majorHAnsi" w:hAnsiTheme="majorHAnsi" w:cstheme="majorHAnsi"/>
                <w:color w:val="000000" w:themeColor="text1"/>
                <w:sz w:val="24"/>
                <w:szCs w:val="24"/>
              </w:rPr>
            </w:pPr>
          </w:p>
        </w:tc>
      </w:tr>
    </w:tbl>
    <w:p w14:paraId="4F6F0CB1" w14:textId="77777777" w:rsidR="00E97443" w:rsidRDefault="00E97443" w:rsidP="00E97443">
      <w:pPr>
        <w:pStyle w:val="ListBullet"/>
        <w:numPr>
          <w:ilvl w:val="0"/>
          <w:numId w:val="0"/>
        </w:numPr>
        <w:spacing w:after="70"/>
        <w:rPr>
          <w:rFonts w:asciiTheme="majorHAnsi" w:hAnsiTheme="majorHAnsi" w:cstheme="majorHAnsi"/>
          <w:color w:val="000000" w:themeColor="text1"/>
          <w:sz w:val="24"/>
          <w:szCs w:val="24"/>
        </w:rPr>
      </w:pPr>
    </w:p>
    <w:p w14:paraId="34E051D1"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4. The three highest-impact priority actions we will execute in the next 12 months are: </w:t>
      </w:r>
    </w:p>
    <w:p w14:paraId="1CAF849D" w14:textId="77777777" w:rsidR="00E97443" w:rsidRDefault="00E97443" w:rsidP="00E97443">
      <w:pPr>
        <w:pStyle w:val="ListBullet"/>
        <w:numPr>
          <w:ilvl w:val="0"/>
          <w:numId w:val="0"/>
        </w:numPr>
        <w:spacing w:after="70"/>
        <w:rPr>
          <w:rFonts w:asciiTheme="majorHAnsi" w:hAnsiTheme="majorHAnsi" w:cstheme="majorHAnsi"/>
          <w:b/>
          <w:color w:val="000000" w:themeColor="text1"/>
          <w:sz w:val="24"/>
          <w:szCs w:val="24"/>
        </w:rPr>
      </w:pPr>
      <w:r w:rsidRPr="002F2B11">
        <w:rPr>
          <w:rFonts w:asciiTheme="majorHAnsi" w:hAnsiTheme="majorHAnsi" w:cstheme="majorHAnsi"/>
          <w:b/>
          <w:color w:val="000000" w:themeColor="text1"/>
          <w:sz w:val="24"/>
          <w:szCs w:val="24"/>
        </w:rPr>
        <w:t xml:space="preserve">   • Priority Action 1: </w:t>
      </w:r>
    </w:p>
    <w:tbl>
      <w:tblPr>
        <w:tblStyle w:val="TableGrid"/>
        <w:tblW w:w="0" w:type="auto"/>
        <w:tblLook w:val="04A0" w:firstRow="1" w:lastRow="0" w:firstColumn="1" w:lastColumn="0" w:noHBand="0" w:noVBand="1"/>
      </w:tblPr>
      <w:tblGrid>
        <w:gridCol w:w="10152"/>
      </w:tblGrid>
      <w:tr w:rsidR="00E97443" w14:paraId="6DBAEE2C" w14:textId="77777777" w:rsidTr="00351680">
        <w:tc>
          <w:tcPr>
            <w:tcW w:w="10152" w:type="dxa"/>
          </w:tcPr>
          <w:p w14:paraId="147F2BAB" w14:textId="77777777" w:rsidR="00E97443" w:rsidRDefault="00E97443" w:rsidP="00351680">
            <w:pPr>
              <w:pStyle w:val="ListBullet"/>
              <w:numPr>
                <w:ilvl w:val="0"/>
                <w:numId w:val="0"/>
              </w:numPr>
              <w:spacing w:after="70"/>
              <w:rPr>
                <w:rFonts w:asciiTheme="majorHAnsi" w:hAnsiTheme="majorHAnsi" w:cstheme="majorHAnsi"/>
                <w:color w:val="000000" w:themeColor="text1"/>
                <w:sz w:val="24"/>
                <w:szCs w:val="24"/>
              </w:rPr>
            </w:pPr>
          </w:p>
        </w:tc>
      </w:tr>
    </w:tbl>
    <w:p w14:paraId="375010E3"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p>
    <w:p w14:paraId="15A49488"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r w:rsidRPr="002F2B11">
        <w:rPr>
          <w:rFonts w:asciiTheme="majorHAnsi" w:hAnsiTheme="majorHAnsi" w:cstheme="majorHAnsi"/>
          <w:b/>
          <w:color w:val="000000" w:themeColor="text1"/>
          <w:sz w:val="24"/>
          <w:szCs w:val="24"/>
        </w:rPr>
        <w:t xml:space="preserve">   • Priority Action 2: </w:t>
      </w:r>
    </w:p>
    <w:tbl>
      <w:tblPr>
        <w:tblStyle w:val="TableGrid"/>
        <w:tblW w:w="0" w:type="auto"/>
        <w:tblLook w:val="04A0" w:firstRow="1" w:lastRow="0" w:firstColumn="1" w:lastColumn="0" w:noHBand="0" w:noVBand="1"/>
      </w:tblPr>
      <w:tblGrid>
        <w:gridCol w:w="10152"/>
      </w:tblGrid>
      <w:tr w:rsidR="00E97443" w14:paraId="4C64B3BA" w14:textId="77777777" w:rsidTr="00351680">
        <w:tc>
          <w:tcPr>
            <w:tcW w:w="10152" w:type="dxa"/>
          </w:tcPr>
          <w:p w14:paraId="65E2E47E" w14:textId="77777777" w:rsidR="00E97443" w:rsidRDefault="00E97443" w:rsidP="00351680">
            <w:pPr>
              <w:pStyle w:val="ListBullet"/>
              <w:numPr>
                <w:ilvl w:val="0"/>
                <w:numId w:val="0"/>
              </w:numPr>
              <w:spacing w:after="70"/>
              <w:rPr>
                <w:rFonts w:asciiTheme="majorHAnsi" w:hAnsiTheme="majorHAnsi" w:cstheme="majorHAnsi"/>
                <w:color w:val="000000" w:themeColor="text1"/>
                <w:sz w:val="24"/>
                <w:szCs w:val="24"/>
              </w:rPr>
            </w:pPr>
          </w:p>
        </w:tc>
      </w:tr>
    </w:tbl>
    <w:p w14:paraId="4E4FCD5F"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p>
    <w:p w14:paraId="66869771" w14:textId="77777777" w:rsidR="00E97443" w:rsidRDefault="00E97443" w:rsidP="00E97443">
      <w:pPr>
        <w:pStyle w:val="ListBullet"/>
        <w:numPr>
          <w:ilvl w:val="0"/>
          <w:numId w:val="0"/>
        </w:numPr>
        <w:spacing w:after="70"/>
        <w:rPr>
          <w:rFonts w:asciiTheme="majorHAnsi" w:hAnsiTheme="majorHAnsi" w:cstheme="majorHAnsi"/>
          <w:b/>
          <w:color w:val="000000" w:themeColor="text1"/>
          <w:sz w:val="24"/>
          <w:szCs w:val="24"/>
        </w:rPr>
      </w:pPr>
      <w:r w:rsidRPr="002F2B11">
        <w:rPr>
          <w:rFonts w:asciiTheme="majorHAnsi" w:hAnsiTheme="majorHAnsi" w:cstheme="majorHAnsi"/>
          <w:b/>
          <w:color w:val="000000" w:themeColor="text1"/>
          <w:sz w:val="24"/>
          <w:szCs w:val="24"/>
        </w:rPr>
        <w:t xml:space="preserve">   • Priority Action 3: </w:t>
      </w:r>
    </w:p>
    <w:tbl>
      <w:tblPr>
        <w:tblStyle w:val="TableGrid"/>
        <w:tblW w:w="0" w:type="auto"/>
        <w:tblLook w:val="04A0" w:firstRow="1" w:lastRow="0" w:firstColumn="1" w:lastColumn="0" w:noHBand="0" w:noVBand="1"/>
      </w:tblPr>
      <w:tblGrid>
        <w:gridCol w:w="10152"/>
      </w:tblGrid>
      <w:tr w:rsidR="00E97443" w14:paraId="692B38BA" w14:textId="77777777" w:rsidTr="00351680">
        <w:tc>
          <w:tcPr>
            <w:tcW w:w="10152" w:type="dxa"/>
          </w:tcPr>
          <w:p w14:paraId="546CB366" w14:textId="77777777" w:rsidR="00E97443" w:rsidRDefault="00E97443" w:rsidP="00351680">
            <w:pPr>
              <w:pStyle w:val="ListBullet"/>
              <w:numPr>
                <w:ilvl w:val="0"/>
                <w:numId w:val="0"/>
              </w:numPr>
              <w:spacing w:after="70"/>
              <w:rPr>
                <w:color w:val="000000" w:themeColor="text1"/>
                <w:sz w:val="24"/>
                <w:szCs w:val="24"/>
              </w:rPr>
            </w:pPr>
          </w:p>
        </w:tc>
      </w:tr>
    </w:tbl>
    <w:p w14:paraId="4C780EE5" w14:textId="77777777" w:rsidR="00E97443" w:rsidRPr="002F2B11" w:rsidRDefault="00E97443" w:rsidP="00E97443">
      <w:pPr>
        <w:pStyle w:val="ListBullet"/>
        <w:numPr>
          <w:ilvl w:val="0"/>
          <w:numId w:val="0"/>
        </w:numPr>
        <w:spacing w:after="70"/>
        <w:rPr>
          <w:rFonts w:asciiTheme="majorHAnsi" w:hAnsiTheme="majorHAnsi" w:cstheme="majorHAnsi"/>
          <w:color w:val="000000" w:themeColor="text1"/>
          <w:sz w:val="24"/>
          <w:szCs w:val="24"/>
        </w:rPr>
      </w:pPr>
    </w:p>
    <w:p w14:paraId="07FAE394" w14:textId="770BA8CD" w:rsidR="00FF4085" w:rsidRPr="00E97443" w:rsidRDefault="00FF4085" w:rsidP="00E97443">
      <w:pPr>
        <w:rPr>
          <w:rFonts w:asciiTheme="majorHAnsi" w:hAnsiTheme="majorHAnsi" w:cstheme="majorHAnsi"/>
        </w:rPr>
      </w:pPr>
    </w:p>
    <w:sectPr w:rsidR="00FF4085" w:rsidRPr="00E97443" w:rsidSect="00E97443">
      <w:pgSz w:w="12240" w:h="15840"/>
      <w:pgMar w:top="1008" w:right="1008" w:bottom="1008" w:left="1008"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charset w:val="00"/>
    <w:family w:val="auto"/>
    <w:pitch w:val="default"/>
    <w:embedRegular r:id="rId1" w:fontKey="{036746D8-0185-4852-81FB-F2BA04F3E9A6}"/>
    <w:embedBold r:id="rId2" w:fontKey="{9CC77138-C2AB-4E09-A268-B4A4218B26A1}"/>
    <w:embedItalic r:id="rId3" w:fontKey="{A0292B6A-DEC5-4884-9533-8E8315C6929D}"/>
  </w:font>
  <w:font w:name="Montserrat">
    <w:charset w:val="00"/>
    <w:family w:val="auto"/>
    <w:pitch w:val="variable"/>
    <w:sig w:usb0="2000020F" w:usb1="00000003" w:usb2="00000000" w:usb3="00000000" w:csb0="00000197" w:csb1="00000000"/>
    <w:embedBold r:id="rId4" w:fontKey="{BD09F321-423D-4744-8D53-65EF4BE7CFDD}"/>
  </w:font>
  <w:font w:name="Georgia">
    <w:panose1 w:val="02040502050405020303"/>
    <w:charset w:val="00"/>
    <w:family w:val="roman"/>
    <w:pitch w:val="variable"/>
    <w:sig w:usb0="00000287" w:usb1="00000000" w:usb2="00000000" w:usb3="00000000" w:csb0="0000009F" w:csb1="00000000"/>
    <w:embedItalic r:id="rId5" w:fontKey="{2FAF1C22-B320-4074-87C7-955CDEA50ED2}"/>
  </w:font>
  <w:font w:name="Calibri">
    <w:panose1 w:val="020F0502020204030204"/>
    <w:charset w:val="00"/>
    <w:family w:val="swiss"/>
    <w:pitch w:val="variable"/>
    <w:sig w:usb0="E4002EFF" w:usb1="C200247B" w:usb2="00000009" w:usb3="00000000" w:csb0="000001FF" w:csb1="00000000"/>
    <w:embedRegular r:id="rId6" w:fontKey="{0E482008-EB97-4A19-867B-1AB139258F1D}"/>
    <w:embedBold r:id="rId7" w:fontKey="{A2B15F76-09F4-40B3-843E-2B419DF35909}"/>
    <w:embedItalic r:id="rId8" w:fontKey="{CCED254D-32E6-4DF9-9EA3-E3C5CFC99C74}"/>
  </w:font>
  <w:font w:name="Cambria">
    <w:panose1 w:val="02040503050406030204"/>
    <w:charset w:val="00"/>
    <w:family w:val="roman"/>
    <w:pitch w:val="variable"/>
    <w:sig w:usb0="E00006FF" w:usb1="420024FF" w:usb2="02000000" w:usb3="00000000" w:csb0="0000019F" w:csb1="00000000"/>
    <w:embedRegular r:id="rId9" w:fontKey="{79CB245E-101D-4091-B7BB-64902C5FBAC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12A6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EF039A1"/>
    <w:multiLevelType w:val="multilevel"/>
    <w:tmpl w:val="20C8FE74"/>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084642895">
    <w:abstractNumId w:val="1"/>
  </w:num>
  <w:num w:numId="2" w16cid:durableId="1762408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085"/>
    <w:rsid w:val="00744EC7"/>
    <w:rsid w:val="00E97443"/>
    <w:rsid w:val="00F23B40"/>
    <w:rsid w:val="00FF4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AE35B"/>
  <w15:docId w15:val="{1C2AA0F7-5F88-4B9B-9DA1-7F8A4CDA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74151"/>
        <w:sz w:val="24"/>
        <w:szCs w:val="24"/>
        <w:lang w:val="en"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line="288" w:lineRule="auto"/>
      <w:outlineLvl w:val="0"/>
    </w:pPr>
    <w:rPr>
      <w:rFonts w:ascii="Montserrat" w:eastAsia="Montserrat" w:hAnsi="Montserrat" w:cs="Montserrat"/>
      <w:b/>
      <w:bCs/>
      <w:color w:val="1F2937"/>
      <w:sz w:val="36"/>
      <w:szCs w:val="36"/>
    </w:rPr>
  </w:style>
  <w:style w:type="paragraph" w:styleId="Heading2">
    <w:name w:val="heading 2"/>
    <w:basedOn w:val="Normal"/>
    <w:next w:val="Normal"/>
    <w:uiPriority w:val="9"/>
    <w:unhideWhenUsed/>
    <w:qFormat/>
    <w:pPr>
      <w:keepNext/>
      <w:keepLines/>
      <w:spacing w:before="360" w:after="80" w:line="288" w:lineRule="auto"/>
      <w:outlineLvl w:val="1"/>
    </w:pPr>
    <w:rPr>
      <w:rFonts w:ascii="Montserrat" w:eastAsia="Montserrat" w:hAnsi="Montserrat" w:cs="Montserrat"/>
      <w:b/>
      <w:bCs/>
      <w:color w:val="1F2937"/>
      <w:sz w:val="34"/>
      <w:szCs w:val="34"/>
    </w:rPr>
  </w:style>
  <w:style w:type="paragraph" w:styleId="Heading3">
    <w:name w:val="heading 3"/>
    <w:basedOn w:val="Normal"/>
    <w:next w:val="Normal"/>
    <w:uiPriority w:val="9"/>
    <w:semiHidden/>
    <w:unhideWhenUsed/>
    <w:qFormat/>
    <w:pPr>
      <w:keepNext/>
      <w:keepLines/>
      <w:spacing w:before="280" w:after="80" w:line="288" w:lineRule="auto"/>
      <w:outlineLvl w:val="2"/>
    </w:pPr>
    <w:rPr>
      <w:rFonts w:ascii="Montserrat" w:eastAsia="Montserrat" w:hAnsi="Montserrat" w:cs="Montserrat"/>
      <w:b/>
      <w:bCs/>
      <w:sz w:val="32"/>
      <w:szCs w:val="3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240" w:lineRule="auto"/>
    </w:pPr>
    <w:rPr>
      <w:rFonts w:ascii="Montserrat" w:eastAsia="Montserrat" w:hAnsi="Montserrat" w:cs="Montserrat"/>
      <w:b/>
      <w:bCs/>
      <w:color w:val="111827"/>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Bullet">
    <w:name w:val="List Bullet"/>
    <w:basedOn w:val="Normal"/>
    <w:uiPriority w:val="99"/>
    <w:unhideWhenUsed/>
    <w:rsid w:val="00E97443"/>
    <w:pPr>
      <w:numPr>
        <w:numId w:val="2"/>
      </w:numPr>
      <w:tabs>
        <w:tab w:val="clear" w:pos="360"/>
      </w:tabs>
      <w:spacing w:after="200" w:line="276" w:lineRule="auto"/>
      <w:ind w:left="0" w:firstLine="0"/>
      <w:contextualSpacing/>
    </w:pPr>
    <w:rPr>
      <w:rFonts w:ascii="Calibri" w:eastAsiaTheme="minorEastAsia" w:hAnsi="Calibri" w:cstheme="minorBidi"/>
      <w:color w:val="333333"/>
      <w:sz w:val="22"/>
      <w:szCs w:val="22"/>
      <w:lang w:val="en-US"/>
    </w:rPr>
  </w:style>
  <w:style w:type="table" w:styleId="TableGrid">
    <w:name w:val="Table Grid"/>
    <w:basedOn w:val="TableNormal"/>
    <w:uiPriority w:val="59"/>
    <w:rsid w:val="00E97443"/>
    <w:pPr>
      <w:spacing w:line="240" w:lineRule="auto"/>
    </w:pPr>
    <w:rPr>
      <w:rFonts w:asciiTheme="minorHAnsi" w:eastAsiaTheme="minorEastAsia"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CAC9E8A-D327-4C66-9BC8-A25F017F5293}">
  <ds:schemaRefs>
    <ds:schemaRef ds:uri="http://schemas.microsoft.com/sharepoint/v3/contenttype/forms"/>
  </ds:schemaRefs>
</ds:datastoreItem>
</file>

<file path=customXml/itemProps2.xml><?xml version="1.0" encoding="utf-8"?>
<ds:datastoreItem xmlns:ds="http://schemas.openxmlformats.org/officeDocument/2006/customXml" ds:itemID="{ECD48F0D-A1B8-4FC5-825E-58809B124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1D9E5-7273-48E8-B486-02754434525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1194</Words>
  <Characters>6809</Characters>
  <Application>Microsoft Office Word</Application>
  <DocSecurity>0</DocSecurity>
  <Lines>56</Lines>
  <Paragraphs>15</Paragraphs>
  <ScaleCrop>false</ScaleCrop>
  <Company>NEA</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Ellen [NEA]</cp:lastModifiedBy>
  <cp:revision>2</cp:revision>
  <dcterms:created xsi:type="dcterms:W3CDTF">2026-09-17T21:19:00Z</dcterms:created>
  <dcterms:modified xsi:type="dcterms:W3CDTF">2026-09-17T21:22:00Z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