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vxqjmygq7tq6" w:id="0"/>
      <w:bookmarkEnd w:id="0"/>
      <w:r w:rsidDel="00000000" w:rsidR="00000000" w:rsidRPr="00000000">
        <w:rPr>
          <w:rtl w:val="0"/>
        </w:rPr>
        <w:t xml:space="preserve">Conditions for Becoming a High Participation Local</w:t>
      </w:r>
    </w:p>
    <w:p w:rsidR="00000000" w:rsidDel="00000000" w:rsidP="00000000" w:rsidRDefault="00000000" w:rsidRPr="00000000" w14:paraId="00000002">
      <w:pPr>
        <w:rPr/>
      </w:pPr>
      <w:r w:rsidDel="00000000" w:rsidR="00000000" w:rsidRPr="00000000">
        <w:rPr>
          <w:rtl w:val="0"/>
        </w:rPr>
        <w:t xml:space="preserve">This document provides a strategic structural breakdown of the evolutionary shift required for labor organizations to transition from transactional service models to high-participation, power-building locals.</w:t>
      </w:r>
    </w:p>
    <w:p w:rsidR="00000000" w:rsidDel="00000000" w:rsidP="00000000" w:rsidRDefault="00000000" w:rsidRPr="00000000" w14:paraId="00000003">
      <w:pPr>
        <w:pStyle w:val="Heading1"/>
        <w:rPr/>
      </w:pPr>
      <w:bookmarkStart w:colFirst="0" w:colLast="0" w:name="_we0sl8h5co55" w:id="1"/>
      <w:bookmarkEnd w:id="1"/>
      <w:r w:rsidDel="00000000" w:rsidR="00000000" w:rsidRPr="00000000">
        <w:rPr>
          <w:rtl w:val="0"/>
        </w:rPr>
        <w:t xml:space="preserve">Profile of a High Participation Local</w:t>
      </w:r>
    </w:p>
    <w:p w:rsidR="00000000" w:rsidDel="00000000" w:rsidP="00000000" w:rsidRDefault="00000000" w:rsidRPr="00000000" w14:paraId="00000004">
      <w:pPr>
        <w:rPr/>
      </w:pPr>
      <w:r w:rsidDel="00000000" w:rsidR="00000000" w:rsidRPr="00000000">
        <w:rPr>
          <w:rtl w:val="0"/>
        </w:rPr>
        <w:t xml:space="preserve">The following operational shifts define the core identity of a high-participation local:</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6">
      <w:pPr>
        <w:numPr>
          <w:ilvl w:val="0"/>
          <w:numId w:val="2"/>
        </w:numPr>
        <w:ind w:left="720" w:hanging="360"/>
      </w:pPr>
      <w:r w:rsidDel="00000000" w:rsidR="00000000" w:rsidRPr="00000000">
        <w:rPr>
          <w:b w:val="1"/>
          <w:bCs w:val="1"/>
          <w:rtl w:val="0"/>
        </w:rPr>
        <w:t xml:space="preserve">Officer &amp; Staff Roles:</w:t>
      </w:r>
      <w:r w:rsidDel="00000000" w:rsidR="00000000" w:rsidRPr="00000000">
        <w:rPr>
          <w:rtl w:val="0"/>
        </w:rPr>
        <w:t xml:space="preserve"> Officers stop handling routine Level 1 grievances and shift focus toward strategic coordination, political diplomacy, geographic turf organizing, and list work.</w:t>
      </w:r>
    </w:p>
    <w:p w:rsidR="00000000" w:rsidDel="00000000" w:rsidP="00000000" w:rsidRDefault="00000000" w:rsidRPr="00000000" w14:paraId="00000007">
      <w:pPr>
        <w:numPr>
          <w:ilvl w:val="0"/>
          <w:numId w:val="2"/>
        </w:numPr>
        <w:ind w:left="720" w:hanging="360"/>
      </w:pPr>
      <w:r w:rsidDel="00000000" w:rsidR="00000000" w:rsidRPr="00000000">
        <w:rPr>
          <w:b w:val="1"/>
          <w:bCs w:val="1"/>
          <w:rtl w:val="0"/>
        </w:rPr>
        <w:t xml:space="preserve">Member Empowerment:</w:t>
      </w:r>
      <w:r w:rsidDel="00000000" w:rsidR="00000000" w:rsidRPr="00000000">
        <w:rPr>
          <w:rtl w:val="0"/>
        </w:rPr>
        <w:t xml:space="preserve"> Field staff and organizers train rank-and-file leaders to resolve initial site disputes directly with site administration and build autonomous campus teams.</w:t>
      </w:r>
    </w:p>
    <w:p w:rsidR="00000000" w:rsidDel="00000000" w:rsidP="00000000" w:rsidRDefault="00000000" w:rsidRPr="00000000" w14:paraId="00000008">
      <w:pPr>
        <w:numPr>
          <w:ilvl w:val="0"/>
          <w:numId w:val="2"/>
        </w:numPr>
        <w:ind w:left="720" w:hanging="360"/>
      </w:pPr>
      <w:r w:rsidDel="00000000" w:rsidR="00000000" w:rsidRPr="00000000">
        <w:rPr>
          <w:b w:val="1"/>
          <w:bCs w:val="1"/>
          <w:rtl w:val="0"/>
        </w:rPr>
        <w:t xml:space="preserve">Organizing-Focused Data:</w:t>
      </w:r>
      <w:r w:rsidDel="00000000" w:rsidR="00000000" w:rsidRPr="00000000">
        <w:rPr>
          <w:rtl w:val="0"/>
        </w:rPr>
        <w:t xml:space="preserve"> Data management shifts from passive administrative record-keeping to active, decentralized campaign tracking via digital wall-charting and quantitative structure tests.</w:t>
      </w:r>
    </w:p>
    <w:p w:rsidR="00000000" w:rsidDel="00000000" w:rsidP="00000000" w:rsidRDefault="00000000" w:rsidRPr="00000000" w14:paraId="00000009">
      <w:pPr>
        <w:numPr>
          <w:ilvl w:val="0"/>
          <w:numId w:val="2"/>
        </w:numPr>
        <w:ind w:left="720" w:hanging="360"/>
      </w:pPr>
      <w:r w:rsidDel="00000000" w:rsidR="00000000" w:rsidRPr="00000000">
        <w:rPr>
          <w:b w:val="1"/>
          <w:bCs w:val="1"/>
          <w:rtl w:val="0"/>
        </w:rPr>
        <w:t xml:space="preserve">Budget Realignment:</w:t>
      </w:r>
      <w:r w:rsidDel="00000000" w:rsidR="00000000" w:rsidRPr="00000000">
        <w:rPr>
          <w:rtl w:val="0"/>
        </w:rPr>
        <w:t xml:space="preserve"> Local budgets intentionally cut passive expenses (such as large conference delegations) to fund direct organizing capacity, field staff, technology, and campaign infrastructure.</w:t>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Equity as Core Strategy:</w:t>
      </w:r>
      <w:r w:rsidDel="00000000" w:rsidR="00000000" w:rsidRPr="00000000">
        <w:rPr>
          <w:rtl w:val="0"/>
        </w:rPr>
        <w:t xml:space="preserve"> Equity is not treated as a separate initiative, but as an overarching organizing strategy embedded into leadership identification, bargaining teams, and campaign planning.</w:t>
      </w:r>
    </w:p>
    <w:p w:rsidR="00000000" w:rsidDel="00000000" w:rsidP="00000000" w:rsidRDefault="00000000" w:rsidRPr="00000000" w14:paraId="0000000B">
      <w:pPr>
        <w:pStyle w:val="Heading1"/>
        <w:rPr/>
      </w:pPr>
      <w:bookmarkStart w:colFirst="0" w:colLast="0" w:name="_kvndtlz3l8kf" w:id="2"/>
      <w:bookmarkEnd w:id="2"/>
      <w:r w:rsidDel="00000000" w:rsidR="00000000" w:rsidRPr="00000000">
        <w:rPr>
          <w:rtl w:val="0"/>
        </w:rPr>
        <w:t xml:space="preserve">The 11 Conditions for Success</w:t>
      </w:r>
    </w:p>
    <w:p w:rsidR="00000000" w:rsidDel="00000000" w:rsidP="00000000" w:rsidRDefault="00000000" w:rsidRPr="00000000" w14:paraId="0000000C">
      <w:pPr>
        <w:pStyle w:val="Heading2"/>
        <w:rPr/>
      </w:pPr>
      <w:bookmarkStart w:colFirst="0" w:colLast="0" w:name="_h41mikkb6fbl" w:id="3"/>
      <w:bookmarkEnd w:id="3"/>
      <w:r w:rsidDel="00000000" w:rsidR="00000000" w:rsidRPr="00000000">
        <w:rPr>
          <w:rtl w:val="0"/>
        </w:rPr>
        <w:t xml:space="preserve">1. School Site Leaders &amp; Contract Action Teams (CATs)</w:t>
      </w:r>
    </w:p>
    <w:p w:rsidR="00000000" w:rsidDel="00000000" w:rsidP="00000000" w:rsidRDefault="00000000" w:rsidRPr="00000000" w14:paraId="0000000D">
      <w:pPr>
        <w:rPr/>
      </w:pPr>
      <w:r w:rsidDel="00000000" w:rsidR="00000000" w:rsidRPr="00000000">
        <w:rPr>
          <w:rtl w:val="0"/>
        </w:rPr>
        <w:t xml:space="preserve">Campus representatives move past passive memo distribution and act as direct, empowered building organizers. Site leaders handle Level 1 grievances locally with principals, establish strict 1:10 communication trees (using Contract Action Teams or Site Organizing Squads), and run monthly building governing councils. Equity is centered by intentionally recruiting leaders across all job classifications, shifts, and backgrounds to ensure building leadership reflects the full diversity of campus staff.</w:t>
      </w:r>
    </w:p>
    <w:p w:rsidR="00000000" w:rsidDel="00000000" w:rsidP="00000000" w:rsidRDefault="00000000" w:rsidRPr="00000000" w14:paraId="0000000E">
      <w:pPr>
        <w:pStyle w:val="Heading2"/>
        <w:rPr/>
      </w:pPr>
      <w:bookmarkStart w:colFirst="0" w:colLast="0" w:name="_mn7jxm2wp0gy" w:id="4"/>
      <w:bookmarkEnd w:id="4"/>
      <w:r w:rsidDel="00000000" w:rsidR="00000000" w:rsidRPr="00000000">
        <w:rPr>
          <w:rtl w:val="0"/>
        </w:rPr>
        <w:t xml:space="preserve">2. Strategic Reorientation of Union Staff</w:t>
      </w:r>
    </w:p>
    <w:p w:rsidR="00000000" w:rsidDel="00000000" w:rsidP="00000000" w:rsidRDefault="00000000" w:rsidRPr="00000000" w14:paraId="0000000F">
      <w:pPr>
        <w:rPr/>
      </w:pPr>
      <w:r w:rsidDel="00000000" w:rsidR="00000000" w:rsidRPr="00000000">
        <w:rPr>
          <w:rtl w:val="0"/>
        </w:rPr>
        <w:t xml:space="preserve">Union staff transition from direct grievance handlers and transactional problem-solvers into strategic coaches, capacity builders, and organizers of synchronized campaigns. Staff structurally separate individual servicing (handled by dedicated reps or member leaders) from majoritarian field organizing, focusing their energy on training members to analyze data, build campaigns, and resolve workplace issues collectively.</w:t>
      </w:r>
    </w:p>
    <w:p w:rsidR="00000000" w:rsidDel="00000000" w:rsidP="00000000" w:rsidRDefault="00000000" w:rsidRPr="00000000" w14:paraId="00000010">
      <w:pPr>
        <w:pStyle w:val="Heading2"/>
        <w:rPr/>
      </w:pPr>
      <w:bookmarkStart w:colFirst="0" w:colLast="0" w:name="_lnani5buruky" w:id="5"/>
      <w:bookmarkEnd w:id="5"/>
      <w:r w:rsidDel="00000000" w:rsidR="00000000" w:rsidRPr="00000000">
        <w:rPr>
          <w:rtl w:val="0"/>
        </w:rPr>
        <w:t xml:space="preserve">3. Active "Valley Work" During Non-Bargaining Lulls</w:t>
      </w:r>
    </w:p>
    <w:p w:rsidR="00000000" w:rsidDel="00000000" w:rsidP="00000000" w:rsidRDefault="00000000" w:rsidRPr="00000000" w14:paraId="00000011">
      <w:pPr>
        <w:rPr/>
      </w:pPr>
      <w:r w:rsidDel="00000000" w:rsidR="00000000" w:rsidRPr="00000000">
        <w:rPr>
          <w:rtl w:val="0"/>
        </w:rPr>
        <w:t xml:space="preserve">Organizing does not pause when a contract is signed. High-participation locals treat off-contract "valleys" as critical windows to enforce contract terms locally, conduct annual needs assessments, run continuous mobile skill-building workshops (e.g., lunchroom workshops), and establish permanent, non-transactional community-labor alliances around social and racial justice before a crisis strikes.</w:t>
      </w:r>
    </w:p>
    <w:p w:rsidR="00000000" w:rsidDel="00000000" w:rsidP="00000000" w:rsidRDefault="00000000" w:rsidRPr="00000000" w14:paraId="00000012">
      <w:pPr>
        <w:pStyle w:val="Heading2"/>
        <w:rPr/>
      </w:pPr>
      <w:bookmarkStart w:colFirst="0" w:colLast="0" w:name="_efg83sde4wub" w:id="6"/>
      <w:bookmarkEnd w:id="6"/>
      <w:r w:rsidDel="00000000" w:rsidR="00000000" w:rsidRPr="00000000">
        <w:rPr>
          <w:rtl w:val="0"/>
        </w:rPr>
        <w:t xml:space="preserve">4. Democratized &amp; Open Collective Bargaining</w:t>
      </w:r>
    </w:p>
    <w:p w:rsidR="00000000" w:rsidDel="00000000" w:rsidP="00000000" w:rsidRDefault="00000000" w:rsidRPr="00000000" w14:paraId="00000013">
      <w:pPr>
        <w:rPr/>
      </w:pPr>
      <w:r w:rsidDel="00000000" w:rsidR="00000000" w:rsidRPr="00000000">
        <w:rPr>
          <w:rtl w:val="0"/>
        </w:rPr>
        <w:t xml:space="preserve">Collective bargaining is treated as an active organizing campaign rather than a closed-door legalistic exercise. The local deploys massive, representative bargaining teams (with site reps from every building and job classification), rejects silent ground rules in favor of radical transparency (plain-language proposals, public updates, video debriefs), and aligns demands with parents and allies to fight for "common good" issues.</w:t>
      </w:r>
    </w:p>
    <w:p w:rsidR="00000000" w:rsidDel="00000000" w:rsidP="00000000" w:rsidRDefault="00000000" w:rsidRPr="00000000" w14:paraId="00000014">
      <w:pPr>
        <w:pStyle w:val="Heading2"/>
        <w:rPr/>
      </w:pPr>
      <w:bookmarkStart w:colFirst="0" w:colLast="0" w:name="_best1nb0hhc2" w:id="7"/>
      <w:bookmarkEnd w:id="7"/>
      <w:r w:rsidDel="00000000" w:rsidR="00000000" w:rsidRPr="00000000">
        <w:rPr>
          <w:rtl w:val="0"/>
        </w:rPr>
        <w:t xml:space="preserve">5. Presidential Leadership &amp; Strategic Coordination</w:t>
      </w:r>
    </w:p>
    <w:p w:rsidR="00000000" w:rsidDel="00000000" w:rsidP="00000000" w:rsidRDefault="00000000" w:rsidRPr="00000000" w14:paraId="00000015">
      <w:pPr>
        <w:rPr/>
      </w:pPr>
      <w:r w:rsidDel="00000000" w:rsidR="00000000" w:rsidRPr="00000000">
        <w:rPr>
          <w:rtl w:val="0"/>
        </w:rPr>
        <w:t xml:space="preserve">Local presidents shift from administrative crisis management to strategic coordination, political diplomacy, geographic turf visits, and budget reallocation. The president acts as the strict gatekeeper of the co-created strategic plan ("if it's not on the plan, it's not happening") and fosters a "choir model" of shared leadership pacing to prevent leader burnout.</w:t>
      </w:r>
    </w:p>
    <w:p w:rsidR="00000000" w:rsidDel="00000000" w:rsidP="00000000" w:rsidRDefault="00000000" w:rsidRPr="00000000" w14:paraId="00000016">
      <w:pPr>
        <w:pStyle w:val="Heading2"/>
        <w:rPr/>
      </w:pPr>
      <w:bookmarkStart w:colFirst="0" w:colLast="0" w:name="_jt5gjlp9un26" w:id="8"/>
      <w:bookmarkEnd w:id="8"/>
      <w:r w:rsidDel="00000000" w:rsidR="00000000" w:rsidRPr="00000000">
        <w:rPr>
          <w:rtl w:val="0"/>
        </w:rPr>
        <w:t xml:space="preserve">6. Decentralized &amp; Active Data Infrastructure</w:t>
      </w:r>
    </w:p>
    <w:p w:rsidR="00000000" w:rsidDel="00000000" w:rsidP="00000000" w:rsidRDefault="00000000" w:rsidRPr="00000000" w14:paraId="00000017">
      <w:pPr>
        <w:rPr/>
      </w:pPr>
      <w:r w:rsidDel="00000000" w:rsidR="00000000" w:rsidRPr="00000000">
        <w:rPr>
          <w:rtl w:val="0"/>
        </w:rPr>
        <w:t xml:space="preserve">Data systems transition from passive administrative filing cabinets into active organizing tools. Worksite mapping, digital wall-charting (Action Builder/OrgDB), and structure-test participation metrics are updated directly by frontline site leads. Data is routinely disaggregated through an equity lens to spot engagement gaps across job titles or demographic groups and run quantitative readiness assessments.</w:t>
      </w:r>
    </w:p>
    <w:p w:rsidR="00000000" w:rsidDel="00000000" w:rsidP="00000000" w:rsidRDefault="00000000" w:rsidRPr="00000000" w14:paraId="00000018">
      <w:pPr>
        <w:pStyle w:val="Heading2"/>
        <w:rPr/>
      </w:pPr>
      <w:bookmarkStart w:colFirst="0" w:colLast="0" w:name="_wp0x6gn956zi" w:id="9"/>
      <w:bookmarkEnd w:id="9"/>
      <w:r w:rsidDel="00000000" w:rsidR="00000000" w:rsidRPr="00000000">
        <w:rPr>
          <w:rtl w:val="0"/>
        </w:rPr>
        <w:t xml:space="preserve">7. Multi-Tiered Training Pipelines &amp; Active Pedagogy</w:t>
      </w:r>
    </w:p>
    <w:p w:rsidR="00000000" w:rsidDel="00000000" w:rsidP="00000000" w:rsidRDefault="00000000" w:rsidRPr="00000000" w14:paraId="00000019">
      <w:pPr>
        <w:rPr/>
      </w:pPr>
      <w:r w:rsidDel="00000000" w:rsidR="00000000" w:rsidRPr="00000000">
        <w:rPr>
          <w:rtl w:val="0"/>
        </w:rPr>
        <w:t xml:space="preserve">Member apathy is addressed as a lack of organizing skills. The local invests in scalable, multi-tiered training pipelines (e.g., Summer Organizing Institutes, Member Organizer cohorts, "Skills to Win" modules) using a "gradual release" pedagogy (moving from staff modeling to autonomous member execution). Trainings remove barriers to entry through mobile, on-site, and rotational workshops.</w:t>
      </w:r>
    </w:p>
    <w:p w:rsidR="00000000" w:rsidDel="00000000" w:rsidP="00000000" w:rsidRDefault="00000000" w:rsidRPr="00000000" w14:paraId="0000001A">
      <w:pPr>
        <w:pStyle w:val="Heading2"/>
        <w:rPr/>
      </w:pPr>
      <w:bookmarkStart w:colFirst="0" w:colLast="0" w:name="_b779561d2kq2" w:id="10"/>
      <w:bookmarkEnd w:id="10"/>
      <w:r w:rsidDel="00000000" w:rsidR="00000000" w:rsidRPr="00000000">
        <w:rPr>
          <w:rtl w:val="0"/>
        </w:rPr>
        <w:t xml:space="preserve">8. Overcoming "Respectability Politics" &amp; Psychological Escalation</w:t>
      </w:r>
    </w:p>
    <w:p w:rsidR="00000000" w:rsidDel="00000000" w:rsidP="00000000" w:rsidRDefault="00000000" w:rsidRPr="00000000" w14:paraId="0000001B">
      <w:pPr>
        <w:rPr/>
      </w:pPr>
      <w:r w:rsidDel="00000000" w:rsidR="00000000" w:rsidRPr="00000000">
        <w:rPr>
          <w:rtl w:val="0"/>
        </w:rPr>
        <w:t xml:space="preserve">The local actively rejects the trap of "respectability politics"—the belief that polite, closed-door labor-management meetings resolve structural disputes—and moves past symbolic "moral victories." By utilizing 1:10 CAT networks, site leaders build protective solidarity, turning the fear of challenging administrative authority into a shared, empowering collective action for concrete contract gains.</w:t>
      </w:r>
    </w:p>
    <w:p w:rsidR="00000000" w:rsidDel="00000000" w:rsidP="00000000" w:rsidRDefault="00000000" w:rsidRPr="00000000" w14:paraId="0000001C">
      <w:pPr>
        <w:pStyle w:val="Heading2"/>
        <w:rPr/>
      </w:pPr>
      <w:bookmarkStart w:colFirst="0" w:colLast="0" w:name="_k3di54msrxfe" w:id="11"/>
      <w:bookmarkEnd w:id="11"/>
      <w:r w:rsidDel="00000000" w:rsidR="00000000" w:rsidRPr="00000000">
        <w:rPr>
          <w:rtl w:val="0"/>
        </w:rPr>
        <w:t xml:space="preserve">9. Defensive Organizing &amp; Anti-Authoritarian Community Protection</w:t>
      </w:r>
    </w:p>
    <w:p w:rsidR="00000000" w:rsidDel="00000000" w:rsidP="00000000" w:rsidRDefault="00000000" w:rsidRPr="00000000" w14:paraId="0000001D">
      <w:pPr>
        <w:rPr/>
      </w:pPr>
      <w:r w:rsidDel="00000000" w:rsidR="00000000" w:rsidRPr="00000000">
        <w:rPr>
          <w:rtl w:val="0"/>
        </w:rPr>
        <w:t xml:space="preserve">The local repurposes its permanent school-site communication networks and strike mobilization machinery for rapid-response community defense. When political, legal, or civil rights threats emerge, site teams mobilize around rapid-response protocols (e.g., ICE defense networks, safe-space protections for LGBTQ+ youth, and election protection tabletop exercises).</w:t>
      </w:r>
    </w:p>
    <w:p w:rsidR="00000000" w:rsidDel="00000000" w:rsidP="00000000" w:rsidRDefault="00000000" w:rsidRPr="00000000" w14:paraId="0000001E">
      <w:pPr>
        <w:pStyle w:val="Heading2"/>
        <w:rPr/>
      </w:pPr>
      <w:bookmarkStart w:colFirst="0" w:colLast="0" w:name="_kbajfk45xr0x" w:id="12"/>
      <w:bookmarkEnd w:id="12"/>
      <w:r w:rsidDel="00000000" w:rsidR="00000000" w:rsidRPr="00000000">
        <w:rPr>
          <w:rtl w:val="0"/>
        </w:rPr>
        <w:t xml:space="preserve">10. Strategic Plan Alignment &amp; Organizational Coherence</w:t>
      </w:r>
    </w:p>
    <w:p w:rsidR="00000000" w:rsidDel="00000000" w:rsidP="00000000" w:rsidRDefault="00000000" w:rsidRPr="00000000" w14:paraId="0000001F">
      <w:pPr>
        <w:rPr/>
      </w:pPr>
      <w:r w:rsidDel="00000000" w:rsidR="00000000" w:rsidRPr="00000000">
        <w:rPr>
          <w:rtl w:val="0"/>
        </w:rPr>
        <w:t xml:space="preserve">The local systematically breaks the bottleneck of reactive, crisis-driven decision-making by establishing a democratized, co-created strategic plan distilled into an accessible roadmap. Leadership clearly distinguishes between structure-building campaigns (building internal capacity) and issue campaigns (expending leverage), aligning all resources and site visits around shared milestones.</w:t>
      </w:r>
    </w:p>
    <w:p w:rsidR="00000000" w:rsidDel="00000000" w:rsidP="00000000" w:rsidRDefault="00000000" w:rsidRPr="00000000" w14:paraId="00000020">
      <w:pPr>
        <w:pStyle w:val="Heading2"/>
        <w:rPr/>
      </w:pPr>
      <w:bookmarkStart w:colFirst="0" w:colLast="0" w:name="_68mk5o3wkxc" w:id="13"/>
      <w:bookmarkEnd w:id="13"/>
      <w:r w:rsidDel="00000000" w:rsidR="00000000" w:rsidRPr="00000000">
        <w:rPr>
          <w:rtl w:val="0"/>
        </w:rPr>
        <w:t xml:space="preserve">11. Methodical Structure Tests to Measure Member Leverage</w:t>
      </w:r>
    </w:p>
    <w:p w:rsidR="00000000" w:rsidDel="00000000" w:rsidP="00000000" w:rsidRDefault="00000000" w:rsidRPr="00000000" w14:paraId="00000021">
      <w:pPr>
        <w:rPr/>
      </w:pPr>
      <w:r w:rsidDel="00000000" w:rsidR="00000000" w:rsidRPr="00000000">
        <w:rPr>
          <w:rtl w:val="0"/>
        </w:rPr>
        <w:t xml:space="preserve">Guesswork and top-down assumptions are replaced by rigorous, data-driven structure tests. The local deploys an escalating sequence of quantifiable workplace actions (e.g., signed platform pledges, sticker days, face-to-face strike vote pledges) with strict majoritarian thresholds (70%–80%+ active participation) acting as mathematical "gates" to confirm supermajority readiness before escalating.</w:t>
      </w:r>
    </w:p>
    <w:p w:rsidR="00000000" w:rsidDel="00000000" w:rsidP="00000000" w:rsidRDefault="00000000" w:rsidRPr="00000000" w14:paraId="00000022">
      <w:pPr>
        <w:pStyle w:val="Heading1"/>
        <w:rPr/>
      </w:pPr>
      <w:bookmarkStart w:colFirst="0" w:colLast="0" w:name="_7o5281kfsjbk" w:id="14"/>
      <w:bookmarkEnd w:id="14"/>
      <w:r w:rsidDel="00000000" w:rsidR="00000000" w:rsidRPr="00000000">
        <w:rPr>
          <w:rtl w:val="0"/>
        </w:rPr>
        <w:t xml:space="preserve">Self-Assessment Spectrums for Leadership Cohorts</w:t>
      </w:r>
    </w:p>
    <w:tbl>
      <w:tblPr>
        <w:tblStyle w:val="Table1"/>
        <w:tblW w:w="10500.0" w:type="dxa"/>
        <w:jc w:val="left"/>
        <w:tblBorders>
          <w:top w:color="e0e4e8" w:space="0" w:sz="8" w:val="single"/>
          <w:left w:color="000000" w:space="0" w:sz="0" w:val="nil"/>
          <w:bottom w:color="e0e4e8" w:space="0" w:sz="8" w:val="single"/>
          <w:right w:color="000000" w:space="0" w:sz="0" w:val="nil"/>
          <w:insideH w:color="e0e4e8" w:space="0" w:sz="8" w:val="single"/>
          <w:insideV w:color="e0e4e8" w:space="0" w:sz="8" w:val="single"/>
        </w:tblBorders>
        <w:tblLayout w:type="fixed"/>
        <w:tblLook w:val="0620"/>
      </w:tblPr>
      <w:tblGrid>
        <w:gridCol w:w="3500"/>
        <w:gridCol w:w="3500"/>
        <w:gridCol w:w="3500"/>
        <w:tblGridChange w:id="0">
          <w:tblGrid>
            <w:gridCol w:w="3500"/>
            <w:gridCol w:w="3500"/>
            <w:gridCol w:w="3500"/>
          </w:tblGrid>
        </w:tblGridChange>
      </w:tblGrid>
      <w:tr>
        <w:trPr>
          <w:cantSplit w:val="0"/>
          <w:tblHeader w:val="1"/>
        </w:trPr>
        <w:tc>
          <w:tcPr/>
          <w:p w:rsidR="00000000" w:rsidDel="00000000" w:rsidP="00000000" w:rsidRDefault="00000000" w:rsidRPr="00000000" w14:paraId="00000023">
            <w:pPr>
              <w:rPr/>
            </w:pPr>
            <w:r w:rsidDel="00000000" w:rsidR="00000000" w:rsidRPr="00000000">
              <w:rPr>
                <w:rtl w:val="0"/>
              </w:rPr>
              <w:t xml:space="preserve">Category</w:t>
            </w:r>
          </w:p>
        </w:tc>
        <w:tc>
          <w:tcPr/>
          <w:p w:rsidR="00000000" w:rsidDel="00000000" w:rsidP="00000000" w:rsidRDefault="00000000" w:rsidRPr="00000000" w14:paraId="00000024">
            <w:pPr>
              <w:rPr/>
            </w:pPr>
            <w:r w:rsidDel="00000000" w:rsidR="00000000" w:rsidRPr="00000000">
              <w:rPr>
                <w:rtl w:val="0"/>
              </w:rPr>
              <w:t xml:space="preserve">Low Participation (Traditional)</w:t>
            </w:r>
          </w:p>
        </w:tc>
        <w:tc>
          <w:tcPr/>
          <w:p w:rsidR="00000000" w:rsidDel="00000000" w:rsidP="00000000" w:rsidRDefault="00000000" w:rsidRPr="00000000" w14:paraId="00000025">
            <w:pPr>
              <w:rPr/>
            </w:pPr>
            <w:r w:rsidDel="00000000" w:rsidR="00000000" w:rsidRPr="00000000">
              <w:rPr>
                <w:rtl w:val="0"/>
              </w:rPr>
              <w:t xml:space="preserve">High Participation (Strategic)</w:t>
            </w:r>
          </w:p>
        </w:tc>
      </w:tr>
      <w:tr>
        <w:trPr>
          <w:cantSplit w:val="0"/>
          <w:tblHeader w:val="0"/>
        </w:trPr>
        <w:tc>
          <w:tcPr/>
          <w:p w:rsidR="00000000" w:rsidDel="00000000" w:rsidP="00000000" w:rsidRDefault="00000000" w:rsidRPr="00000000" w14:paraId="00000026">
            <w:pPr>
              <w:rPr/>
            </w:pPr>
            <w:r w:rsidDel="00000000" w:rsidR="00000000" w:rsidRPr="00000000">
              <w:rPr>
                <w:b w:val="1"/>
                <w:bCs w:val="1"/>
                <w:rtl w:val="0"/>
              </w:rPr>
              <w:t xml:space="preserve">Worksite Leadership</w:t>
            </w:r>
            <w:r w:rsidDel="00000000" w:rsidR="00000000" w:rsidRPr="00000000">
              <w:rPr>
                <w:rtl w:val="0"/>
              </w:rPr>
            </w:r>
          </w:p>
        </w:tc>
        <w:tc>
          <w:tcPr/>
          <w:p w:rsidR="00000000" w:rsidDel="00000000" w:rsidP="00000000" w:rsidRDefault="00000000" w:rsidRPr="00000000" w14:paraId="00000027">
            <w:pPr>
              <w:rPr/>
            </w:pPr>
            <w:r w:rsidDel="00000000" w:rsidR="00000000" w:rsidRPr="00000000">
              <w:rPr>
                <w:rtl w:val="0"/>
              </w:rPr>
              <w:t xml:space="preserve">Officers and staff handle nearly all Level 1 grievances; reps relay information.</w:t>
            </w:r>
          </w:p>
        </w:tc>
        <w:tc>
          <w:tcPr/>
          <w:p w:rsidR="00000000" w:rsidDel="00000000" w:rsidP="00000000" w:rsidRDefault="00000000" w:rsidRPr="00000000" w14:paraId="00000028">
            <w:pPr>
              <w:rPr/>
            </w:pPr>
            <w:r w:rsidDel="00000000" w:rsidR="00000000" w:rsidRPr="00000000">
              <w:rPr>
                <w:rtl w:val="0"/>
              </w:rPr>
              <w:t xml:space="preserve">Worksite Reps and CATs confidently resolve Level 1 issues directly with site principals.</w:t>
            </w:r>
          </w:p>
        </w:tc>
      </w:tr>
      <w:tr>
        <w:trPr>
          <w:cantSplit w:val="0"/>
          <w:tblHeader w:val="0"/>
        </w:trPr>
        <w:tc>
          <w:tcPr/>
          <w:p w:rsidR="00000000" w:rsidDel="00000000" w:rsidP="00000000" w:rsidRDefault="00000000" w:rsidRPr="00000000" w14:paraId="00000029">
            <w:pPr>
              <w:rPr/>
            </w:pPr>
            <w:r w:rsidDel="00000000" w:rsidR="00000000" w:rsidRPr="00000000">
              <w:rPr>
                <w:b w:val="1"/>
                <w:bCs w:val="1"/>
                <w:rtl w:val="0"/>
              </w:rPr>
              <w:t xml:space="preserve">Strategic Leadership</w:t>
            </w:r>
            <w:r w:rsidDel="00000000" w:rsidR="00000000" w:rsidRPr="00000000">
              <w:rPr>
                <w:rtl w:val="0"/>
              </w:rPr>
            </w:r>
          </w:p>
        </w:tc>
        <w:tc>
          <w:tcPr/>
          <w:p w:rsidR="00000000" w:rsidDel="00000000" w:rsidP="00000000" w:rsidRDefault="00000000" w:rsidRPr="00000000" w14:paraId="0000002A">
            <w:pPr>
              <w:rPr/>
            </w:pPr>
            <w:r w:rsidDel="00000000" w:rsidR="00000000" w:rsidRPr="00000000">
              <w:rPr>
                <w:rtl w:val="0"/>
              </w:rPr>
              <w:t xml:space="preserve">Almost no time spent on strategic coordination, turf walking, or coaching.</w:t>
            </w:r>
          </w:p>
        </w:tc>
        <w:tc>
          <w:tcPr/>
          <w:p w:rsidR="00000000" w:rsidDel="00000000" w:rsidP="00000000" w:rsidRDefault="00000000" w:rsidRPr="00000000" w14:paraId="0000002B">
            <w:pPr>
              <w:rPr/>
            </w:pPr>
            <w:r w:rsidDel="00000000" w:rsidR="00000000" w:rsidRPr="00000000">
              <w:rPr>
                <w:rtl w:val="0"/>
              </w:rPr>
              <w:t xml:space="preserve">Officers/staff dedicate majority of time to coaching leaders, planning, and turf walking.</w:t>
            </w:r>
          </w:p>
        </w:tc>
      </w:tr>
      <w:tr>
        <w:trPr>
          <w:cantSplit w:val="0"/>
          <w:tblHeader w:val="0"/>
        </w:trPr>
        <w:tc>
          <w:tcPr/>
          <w:p w:rsidR="00000000" w:rsidDel="00000000" w:rsidP="00000000" w:rsidRDefault="00000000" w:rsidRPr="00000000" w14:paraId="0000002C">
            <w:pPr>
              <w:rPr/>
            </w:pPr>
            <w:r w:rsidDel="00000000" w:rsidR="00000000" w:rsidRPr="00000000">
              <w:rPr>
                <w:b w:val="1"/>
                <w:bCs w:val="1"/>
                <w:rtl w:val="0"/>
              </w:rPr>
              <w:t xml:space="preserve">Training Cadence</w:t>
            </w:r>
            <w:r w:rsidDel="00000000" w:rsidR="00000000" w:rsidRPr="00000000">
              <w:rPr>
                <w:rtl w:val="0"/>
              </w:rPr>
            </w:r>
          </w:p>
        </w:tc>
        <w:tc>
          <w:tcPr/>
          <w:p w:rsidR="00000000" w:rsidDel="00000000" w:rsidP="00000000" w:rsidRDefault="00000000" w:rsidRPr="00000000" w14:paraId="0000002D">
            <w:pPr>
              <w:rPr/>
            </w:pPr>
            <w:r w:rsidDel="00000000" w:rsidR="00000000" w:rsidRPr="00000000">
              <w:rPr>
                <w:rtl w:val="0"/>
              </w:rPr>
              <w:t xml:space="preserve">Training occurs once a year at a central location for elected governance.</w:t>
            </w:r>
          </w:p>
        </w:tc>
        <w:tc>
          <w:tcPr/>
          <w:p w:rsidR="00000000" w:rsidDel="00000000" w:rsidP="00000000" w:rsidRDefault="00000000" w:rsidRPr="00000000" w14:paraId="0000002E">
            <w:pPr>
              <w:rPr/>
            </w:pPr>
            <w:r w:rsidDel="00000000" w:rsidR="00000000" w:rsidRPr="00000000">
              <w:rPr>
                <w:rtl w:val="0"/>
              </w:rPr>
              <w:t xml:space="preserve">Continuous, multi-tiered trainings delivered across sites, lunchrooms, and online.</w:t>
            </w:r>
          </w:p>
        </w:tc>
      </w:tr>
      <w:tr>
        <w:trPr>
          <w:cantSplit w:val="0"/>
          <w:tblHeader w:val="0"/>
        </w:trPr>
        <w:tc>
          <w:tcPr/>
          <w:p w:rsidR="00000000" w:rsidDel="00000000" w:rsidP="00000000" w:rsidRDefault="00000000" w:rsidRPr="00000000" w14:paraId="0000002F">
            <w:pPr>
              <w:rPr/>
            </w:pPr>
            <w:r w:rsidDel="00000000" w:rsidR="00000000" w:rsidRPr="00000000">
              <w:rPr>
                <w:b w:val="1"/>
                <w:bCs w:val="1"/>
                <w:rtl w:val="0"/>
              </w:rPr>
              <w:t xml:space="preserve">Data Utilization</w:t>
            </w:r>
            <w:r w:rsidDel="00000000" w:rsidR="00000000" w:rsidRPr="00000000">
              <w:rPr>
                <w:rtl w:val="0"/>
              </w:rPr>
            </w:r>
          </w:p>
        </w:tc>
        <w:tc>
          <w:tcPr/>
          <w:p w:rsidR="00000000" w:rsidDel="00000000" w:rsidP="00000000" w:rsidRDefault="00000000" w:rsidRPr="00000000" w14:paraId="00000030">
            <w:pPr>
              <w:rPr/>
            </w:pPr>
            <w:r w:rsidDel="00000000" w:rsidR="00000000" w:rsidRPr="00000000">
              <w:rPr>
                <w:rtl w:val="0"/>
              </w:rPr>
              <w:t xml:space="preserve">Data is purely administrative (dues, static rosters) and reviewed reactively.</w:t>
            </w:r>
          </w:p>
        </w:tc>
        <w:tc>
          <w:tcPr/>
          <w:p w:rsidR="00000000" w:rsidDel="00000000" w:rsidP="00000000" w:rsidRDefault="00000000" w:rsidRPr="00000000" w14:paraId="00000031">
            <w:pPr>
              <w:rPr/>
            </w:pPr>
            <w:r w:rsidDel="00000000" w:rsidR="00000000" w:rsidRPr="00000000">
              <w:rPr>
                <w:rtl w:val="0"/>
              </w:rPr>
              <w:t xml:space="preserve">Data is analyzed by site leads via wall-charts to track engagement and structure tests.</w:t>
            </w:r>
          </w:p>
        </w:tc>
      </w:tr>
      <w:tr>
        <w:trPr>
          <w:cantSplit w:val="0"/>
          <w:tblHeader w:val="0"/>
        </w:trPr>
        <w:tc>
          <w:tcPr/>
          <w:p w:rsidR="00000000" w:rsidDel="00000000" w:rsidP="00000000" w:rsidRDefault="00000000" w:rsidRPr="00000000" w14:paraId="00000032">
            <w:pPr>
              <w:rPr/>
            </w:pPr>
            <w:r w:rsidDel="00000000" w:rsidR="00000000" w:rsidRPr="00000000">
              <w:rPr>
                <w:b w:val="1"/>
                <w:bCs w:val="1"/>
                <w:rtl w:val="0"/>
              </w:rPr>
              <w:t xml:space="preserve">Budget Allocation</w:t>
            </w:r>
            <w:r w:rsidDel="00000000" w:rsidR="00000000" w:rsidRPr="00000000">
              <w:rPr>
                <w:rtl w:val="0"/>
              </w:rPr>
            </w:r>
          </w:p>
        </w:tc>
        <w:tc>
          <w:tcPr/>
          <w:p w:rsidR="00000000" w:rsidDel="00000000" w:rsidP="00000000" w:rsidRDefault="00000000" w:rsidRPr="00000000" w14:paraId="00000033">
            <w:pPr>
              <w:rPr/>
            </w:pPr>
            <w:r w:rsidDel="00000000" w:rsidR="00000000" w:rsidRPr="00000000">
              <w:rPr>
                <w:rtl w:val="0"/>
              </w:rPr>
              <w:t xml:space="preserve">Heavy spending on conference delegations and passive social events.</w:t>
            </w:r>
          </w:p>
        </w:tc>
        <w:tc>
          <w:tcPr/>
          <w:p w:rsidR="00000000" w:rsidDel="00000000" w:rsidP="00000000" w:rsidRDefault="00000000" w:rsidRPr="00000000" w14:paraId="00000034">
            <w:pPr>
              <w:rPr/>
            </w:pPr>
            <w:r w:rsidDel="00000000" w:rsidR="00000000" w:rsidRPr="00000000">
              <w:rPr>
                <w:rtl w:val="0"/>
              </w:rPr>
              <w:t xml:space="preserve">Resources prioritized for member toolkits, field staff, technology, and leadership pipelines.</w:t>
            </w:r>
          </w:p>
        </w:tc>
      </w:tr>
    </w:tbl>
    <w:p w:rsidR="00000000" w:rsidDel="00000000" w:rsidP="00000000" w:rsidRDefault="00000000" w:rsidRPr="00000000" w14:paraId="00000035">
      <w:pPr>
        <w:pStyle w:val="Heading1"/>
        <w:rPr/>
      </w:pPr>
      <w:bookmarkStart w:colFirst="0" w:colLast="0" w:name="_fng096lvvuq4" w:id="15"/>
      <w:bookmarkEnd w:id="15"/>
      <w:r w:rsidDel="00000000" w:rsidR="00000000" w:rsidRPr="00000000">
        <w:rPr>
          <w:rtl w:val="0"/>
        </w:rPr>
        <w:t xml:space="preserve">Over-Arching Campaign Goals</w:t>
      </w:r>
    </w:p>
    <w:p w:rsidR="00000000" w:rsidDel="00000000" w:rsidP="00000000" w:rsidRDefault="00000000" w:rsidRPr="00000000" w14:paraId="00000036">
      <w:pPr>
        <w:rPr/>
      </w:pPr>
      <w:r w:rsidDel="00000000" w:rsidR="00000000" w:rsidRPr="00000000">
        <w:rPr>
          <w:rtl w:val="0"/>
        </w:rPr>
        <w:t xml:space="preserve">All internal and external campaign efforts should consistently build toward these core results:</w:t>
      </w:r>
    </w:p>
    <w:p w:rsidR="00000000" w:rsidDel="00000000" w:rsidP="00000000" w:rsidRDefault="00000000" w:rsidRPr="00000000" w14:paraId="00000037">
      <w:pPr>
        <w:pStyle w:val="Heading2"/>
        <w:rPr/>
      </w:pPr>
      <w:bookmarkStart w:colFirst="0" w:colLast="0" w:name="_njyxa4w2tkrx" w:id="16"/>
      <w:bookmarkEnd w:id="16"/>
      <w:r w:rsidDel="00000000" w:rsidR="00000000" w:rsidRPr="00000000">
        <w:rPr>
          <w:rtl w:val="0"/>
        </w:rPr>
        <w:t xml:space="preserve">Core Leverage Metrics</w:t>
      </w:r>
    </w:p>
    <w:p w:rsidR="00000000" w:rsidDel="00000000" w:rsidP="00000000" w:rsidRDefault="00000000" w:rsidRPr="00000000" w14:paraId="00000038">
      <w:pPr>
        <w:numPr>
          <w:ilvl w:val="0"/>
          <w:numId w:val="1"/>
        </w:numPr>
        <w:ind w:left="720" w:hanging="360"/>
      </w:pPr>
      <w:r w:rsidDel="00000000" w:rsidR="00000000" w:rsidRPr="00000000">
        <w:rPr>
          <w:b w:val="1"/>
          <w:bCs w:val="1"/>
          <w:rtl w:val="0"/>
        </w:rPr>
        <w:t xml:space="preserve">Supermajority Membership:</w:t>
      </w:r>
      <w:r w:rsidDel="00000000" w:rsidR="00000000" w:rsidRPr="00000000">
        <w:rPr>
          <w:rtl w:val="0"/>
        </w:rPr>
        <w:t xml:space="preserve"> Sustained majoritarian density across all job classifications.</w:t>
      </w:r>
    </w:p>
    <w:p w:rsidR="00000000" w:rsidDel="00000000" w:rsidP="00000000" w:rsidRDefault="00000000" w:rsidRPr="00000000" w14:paraId="00000039">
      <w:pPr>
        <w:numPr>
          <w:ilvl w:val="0"/>
          <w:numId w:val="1"/>
        </w:numPr>
        <w:ind w:left="720" w:hanging="360"/>
      </w:pPr>
      <w:r w:rsidDel="00000000" w:rsidR="00000000" w:rsidRPr="00000000">
        <w:rPr>
          <w:b w:val="1"/>
          <w:bCs w:val="1"/>
          <w:rtl w:val="0"/>
        </w:rPr>
        <w:t xml:space="preserve">Supermajority Member Engagement:</w:t>
      </w:r>
      <w:r w:rsidDel="00000000" w:rsidR="00000000" w:rsidRPr="00000000">
        <w:rPr>
          <w:rtl w:val="0"/>
        </w:rPr>
        <w:t xml:space="preserve"> Active participation thresholds (&gt;75%–80%+) in structure tests and actions.</w:t>
      </w:r>
    </w:p>
    <w:p w:rsidR="00000000" w:rsidDel="00000000" w:rsidP="00000000" w:rsidRDefault="00000000" w:rsidRPr="00000000" w14:paraId="0000003A">
      <w:pPr>
        <w:numPr>
          <w:ilvl w:val="0"/>
          <w:numId w:val="1"/>
        </w:numPr>
        <w:ind w:left="720" w:hanging="360"/>
      </w:pPr>
      <w:r w:rsidDel="00000000" w:rsidR="00000000" w:rsidRPr="00000000">
        <w:rPr>
          <w:b w:val="1"/>
          <w:bCs w:val="1"/>
          <w:rtl w:val="0"/>
        </w:rPr>
        <w:t xml:space="preserve">Supermajority Governing Votes:</w:t>
      </w:r>
      <w:r w:rsidDel="00000000" w:rsidR="00000000" w:rsidRPr="00000000">
        <w:rPr>
          <w:rtl w:val="0"/>
        </w:rPr>
        <w:t xml:space="preserve"> Strong internal unity and member ratifications.</w:t>
      </w:r>
    </w:p>
    <w:p w:rsidR="00000000" w:rsidDel="00000000" w:rsidP="00000000" w:rsidRDefault="00000000" w:rsidRPr="00000000" w14:paraId="0000003B">
      <w:pPr>
        <w:pStyle w:val="Heading2"/>
        <w:rPr/>
      </w:pPr>
      <w:bookmarkStart w:colFirst="0" w:colLast="0" w:name="_s7mpas8mbjvm" w:id="17"/>
      <w:bookmarkEnd w:id="17"/>
      <w:r w:rsidDel="00000000" w:rsidR="00000000" w:rsidRPr="00000000">
        <w:rPr>
          <w:rtl w:val="0"/>
        </w:rPr>
        <w:t xml:space="preserve">Internal Capacity Goals</w:t>
      </w:r>
    </w:p>
    <w:p w:rsidR="00000000" w:rsidDel="00000000" w:rsidP="00000000" w:rsidRDefault="00000000" w:rsidRPr="00000000" w14:paraId="0000003C">
      <w:pPr>
        <w:numPr>
          <w:ilvl w:val="0"/>
          <w:numId w:val="1"/>
        </w:numPr>
        <w:ind w:left="720" w:hanging="360"/>
      </w:pPr>
      <w:r w:rsidDel="00000000" w:rsidR="00000000" w:rsidRPr="00000000">
        <w:rPr>
          <w:rtl w:val="0"/>
        </w:rPr>
        <w:t xml:space="preserve">Continuous identification, recruitment, and training of organic rank-and-file leaders.</w:t>
      </w:r>
    </w:p>
    <w:p w:rsidR="00000000" w:rsidDel="00000000" w:rsidP="00000000" w:rsidRDefault="00000000" w:rsidRPr="00000000" w14:paraId="0000003D">
      <w:pPr>
        <w:numPr>
          <w:ilvl w:val="0"/>
          <w:numId w:val="1"/>
        </w:numPr>
        <w:ind w:left="720" w:hanging="360"/>
      </w:pPr>
      <w:r w:rsidDel="00000000" w:rsidR="00000000" w:rsidRPr="00000000">
        <w:rPr>
          <w:rtl w:val="0"/>
        </w:rPr>
        <w:t xml:space="preserve">Functional 1:10 Contract Action Teams (CATs) and governance councils in every worksite.</w:t>
      </w:r>
    </w:p>
    <w:p w:rsidR="00000000" w:rsidDel="00000000" w:rsidP="00000000" w:rsidRDefault="00000000" w:rsidRPr="00000000" w14:paraId="0000003E">
      <w:pPr>
        <w:numPr>
          <w:ilvl w:val="0"/>
          <w:numId w:val="1"/>
        </w:numPr>
        <w:ind w:left="720" w:hanging="360"/>
      </w:pPr>
      <w:r w:rsidDel="00000000" w:rsidR="00000000" w:rsidRPr="00000000">
        <w:rPr>
          <w:rtl w:val="0"/>
        </w:rPr>
        <w:t xml:space="preserve">Multi-channel, two-way member-to-member communication networks.</w:t>
      </w:r>
    </w:p>
    <w:p w:rsidR="00000000" w:rsidDel="00000000" w:rsidP="00000000" w:rsidRDefault="00000000" w:rsidRPr="00000000" w14:paraId="0000003F">
      <w:pPr>
        <w:pStyle w:val="Heading2"/>
        <w:rPr/>
      </w:pPr>
      <w:bookmarkStart w:colFirst="0" w:colLast="0" w:name="_w1qtkb9aaj21" w:id="18"/>
      <w:bookmarkEnd w:id="18"/>
      <w:r w:rsidDel="00000000" w:rsidR="00000000" w:rsidRPr="00000000">
        <w:rPr>
          <w:rtl w:val="0"/>
        </w:rPr>
        <w:t xml:space="preserve">External Power Goals</w:t>
      </w:r>
    </w:p>
    <w:p w:rsidR="00000000" w:rsidDel="00000000" w:rsidP="00000000" w:rsidRDefault="00000000" w:rsidRPr="00000000" w14:paraId="00000040">
      <w:pPr>
        <w:numPr>
          <w:ilvl w:val="0"/>
          <w:numId w:val="1"/>
        </w:numPr>
        <w:ind w:left="720" w:hanging="360"/>
      </w:pPr>
      <w:r w:rsidDel="00000000" w:rsidR="00000000" w:rsidRPr="00000000">
        <w:rPr>
          <w:rtl w:val="0"/>
        </w:rPr>
        <w:t xml:space="preserve">Permanent, non-transactional community alliances fighting for common good demands.</w:t>
      </w:r>
    </w:p>
    <w:p w:rsidR="00000000" w:rsidDel="00000000" w:rsidP="00000000" w:rsidRDefault="00000000" w:rsidRPr="00000000" w14:paraId="00000041">
      <w:pPr>
        <w:numPr>
          <w:ilvl w:val="0"/>
          <w:numId w:val="1"/>
        </w:numPr>
        <w:ind w:left="720" w:hanging="360"/>
      </w:pPr>
      <w:r w:rsidDel="00000000" w:rsidR="00000000" w:rsidRPr="00000000">
        <w:rPr>
          <w:rtl w:val="0"/>
        </w:rPr>
        <w:t xml:space="preserve">Increased coalition strength and rapid-response defensive capability.</w:t>
      </w:r>
    </w:p>
    <w:p w:rsidR="00000000" w:rsidDel="00000000" w:rsidP="00000000" w:rsidRDefault="00000000" w:rsidRPr="00000000" w14:paraId="0000004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333333"/>
        <w:sz w:val="24"/>
        <w:szCs w:val="24"/>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300" w:lineRule="auto"/>
    </w:pPr>
    <w:rPr>
      <w:rFonts w:ascii="Montserrat" w:cs="Montserrat" w:eastAsia="Montserrat" w:hAnsi="Montserrat"/>
      <w:b w:val="1"/>
      <w:bCs w:val="1"/>
      <w:i w:val="0"/>
      <w:iCs w:val="0"/>
      <w:color w:val="1a237e"/>
      <w:sz w:val="34"/>
      <w:szCs w:val="34"/>
    </w:rPr>
  </w:style>
  <w:style w:type="paragraph" w:styleId="Heading2">
    <w:name w:val="heading 2"/>
    <w:basedOn w:val="Normal"/>
    <w:next w:val="Normal"/>
    <w:pPr>
      <w:keepNext w:val="1"/>
      <w:keepLines w:val="1"/>
      <w:pageBreakBefore w:val="0"/>
      <w:spacing w:after="80" w:before="360" w:line="300" w:lineRule="auto"/>
    </w:pPr>
    <w:rPr>
      <w:rFonts w:ascii="Montserrat" w:cs="Montserrat" w:eastAsia="Montserrat" w:hAnsi="Montserrat"/>
      <w:b w:val="1"/>
      <w:bCs w:val="1"/>
      <w:i w:val="0"/>
      <w:iCs w:val="0"/>
      <w:color w:val="283593"/>
      <w:sz w:val="32"/>
      <w:szCs w:val="32"/>
    </w:rPr>
  </w:style>
  <w:style w:type="paragraph" w:styleId="Heading3">
    <w:name w:val="heading 3"/>
    <w:basedOn w:val="Normal"/>
    <w:next w:val="Normal"/>
    <w:pPr>
      <w:keepNext w:val="1"/>
      <w:keepLines w:val="1"/>
      <w:pageBreakBefore w:val="0"/>
      <w:spacing w:after="80" w:before="280" w:line="300" w:lineRule="auto"/>
    </w:pPr>
    <w:rPr>
      <w:rFonts w:ascii="Montserrat" w:cs="Montserrat" w:eastAsia="Montserrat" w:hAnsi="Montserrat"/>
      <w:b w:val="1"/>
      <w:bCs w:val="1"/>
      <w:i w:val="0"/>
      <w:iCs w:val="0"/>
      <w:color w:val="3949ab"/>
      <w:sz w:val="30"/>
      <w:szCs w:val="3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rFonts w:ascii="Montserrat" w:cs="Montserrat" w:eastAsia="Montserrat" w:hAnsi="Montserrat"/>
      <w:b w:val="1"/>
      <w:bCs w:val="1"/>
      <w:i w:val="0"/>
      <w:iCs w:val="0"/>
      <w:color w:val="1a237e"/>
      <w:sz w:val="44"/>
      <w:szCs w:val="44"/>
    </w:rPr>
  </w:style>
  <w:style w:type="paragraph" w:styleId="Subtitle">
    <w:name w:val="Subtitle"/>
    <w:basedOn w:val="Normal"/>
    <w:next w:val="Normal"/>
    <w:pPr>
      <w:keepNext w:val="1"/>
      <w:keepLines w:val="1"/>
      <w:pageBreakBefore w:val="0"/>
      <w:spacing w:after="80" w:before="360" w:line="300" w:lineRule="auto"/>
    </w:pPr>
    <w:rPr>
      <w:rFonts w:ascii="Montserrat" w:cs="Montserrat" w:eastAsia="Montserrat" w:hAnsi="Montserrat"/>
      <w:b w:val="0"/>
      <w:bCs w:val="0"/>
      <w:i w:val="0"/>
      <w:iCs w:val="0"/>
      <w:color w:val="5c6bc0"/>
      <w:sz w:val="36"/>
      <w:szCs w:val="36"/>
    </w:rPr>
  </w:style>
  <w:style w:type="table" w:styleId="Table1">
    <w:basedOn w:val="TableNormal"/>
    <w:tblPr>
      <w:tblStyleRowBandSize w:val="1"/>
      <w:tblStyleColBandSize w:val="1"/>
      <w:tblCellMar>
        <w:top w:w="160.0" w:type="dxa"/>
        <w:left w:w="200.0" w:type="dxa"/>
        <w:bottom w:w="160.0" w:type="dxa"/>
        <w:right w:w="200.0" w:type="dxa"/>
      </w:tblCellMar>
    </w:tblPr>
    <w:tcPr>
      <w:shd w:fill="ffffff" w:val="clear"/>
      <w:vAlign w:val="top"/>
    </w:tcPr>
    <w:tblStylePr w:type="firstRow">
      <w:rPr>
        <w:rFonts w:ascii="Inter" w:cs="Inter" w:eastAsia="Inter" w:hAnsi="Inter"/>
        <w:b w:val="1"/>
        <w:bCs w:val="1"/>
        <w:i w:val="0"/>
        <w:iCs w:val="0"/>
        <w:color w:val="1a237e"/>
        <w:sz w:val="24"/>
        <w:szCs w:val="24"/>
      </w:rPr>
      <w:tcPr>
        <w:shd w:fill="f5f7fa" w:val="clear"/>
        <w:vAlign w:val="center"/>
      </w:tcPr>
    </w:tblStyle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DAD8093-9594-446C-80F5-9858D81B476C}"/>
</file>

<file path=customXml/itemProps2.xml><?xml version="1.0" encoding="utf-8"?>
<ds:datastoreItem xmlns:ds="http://schemas.openxmlformats.org/officeDocument/2006/customXml" ds:itemID="{D44BF808-BE86-4786-A2A2-FE49299492C6}"/>
</file>

<file path=customXml/itemProps3.xml><?xml version="1.0" encoding="utf-8"?>
<ds:datastoreItem xmlns:ds="http://schemas.openxmlformats.org/officeDocument/2006/customXml" ds:itemID="{9C705560-2855-4D93-BBBC-1DC06E45201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