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E3790" w14:textId="22D395D3" w:rsidR="008F0FAB" w:rsidRPr="008F0FAB" w:rsidRDefault="008F0FAB" w:rsidP="008F0FAB">
      <w:pPr>
        <w:rPr>
          <w:b/>
          <w:bCs/>
          <w:sz w:val="32"/>
          <w:szCs w:val="32"/>
        </w:rPr>
      </w:pPr>
      <w:r w:rsidRPr="008F0FAB">
        <w:rPr>
          <w:b/>
          <w:bCs/>
          <w:sz w:val="32"/>
          <w:szCs w:val="32"/>
        </w:rPr>
        <w:t>Scenario</w:t>
      </w:r>
      <w:r w:rsidR="00994E49">
        <w:rPr>
          <w:b/>
          <w:bCs/>
          <w:sz w:val="32"/>
          <w:szCs w:val="32"/>
        </w:rPr>
        <w:t xml:space="preserve"> 4</w:t>
      </w:r>
      <w:r w:rsidRPr="008F0FAB">
        <w:rPr>
          <w:b/>
          <w:bCs/>
          <w:sz w:val="32"/>
          <w:szCs w:val="32"/>
        </w:rPr>
        <w:t>: Building Visibility, Trust, and Collective Action in Challenging Times</w:t>
      </w:r>
    </w:p>
    <w:p w14:paraId="441C64A2" w14:textId="21ACAA5B" w:rsidR="008F0FAB" w:rsidRPr="008F0FAB" w:rsidRDefault="008F0FAB" w:rsidP="008F0FAB">
      <w:r w:rsidRPr="008F0FAB">
        <w:t xml:space="preserve">The Lakeshore Education Association (LEA) represents approximately 1,800 educators and education support professionals across a suburban school district. Historically, the union has been strongest when </w:t>
      </w:r>
      <w:proofErr w:type="gramStart"/>
      <w:r w:rsidRPr="008F0FAB">
        <w:t>organizing around</w:t>
      </w:r>
      <w:proofErr w:type="gramEnd"/>
      <w:r w:rsidRPr="008F0FAB">
        <w:t xml:space="preserve"> contract negotiations, salary concerns, and workload issues. Participation in bargaining-related campaigns is typically high, but member engagement outside bargaining cycles has been inconsistent.</w:t>
      </w:r>
    </w:p>
    <w:p w14:paraId="104D8195" w14:textId="77777777" w:rsidR="008F0FAB" w:rsidRPr="008F0FAB" w:rsidRDefault="008F0FAB" w:rsidP="008F0FAB">
      <w:r w:rsidRPr="008F0FAB">
        <w:t>In recent years, district leaders, educators, and families have struggled with growing concerns about student mental health, belonging, safety, and school climate. While many educators believe schools should intentionally create supportive environments for all students, the community has become increasingly polarized around issues of identity, inclusion, and student support services.</w:t>
      </w:r>
    </w:p>
    <w:p w14:paraId="0870E5BB" w14:textId="77777777" w:rsidR="008F0FAB" w:rsidRPr="008F0FAB" w:rsidRDefault="008F0FAB" w:rsidP="008F0FAB">
      <w:r w:rsidRPr="008F0FAB">
        <w:t>Several educators have experienced criticism on social media for comments perceived as political. School board meetings that once focused primarily on budgets and curriculum now frequently include heated public debate. Many staff members report feeling uncertain about what topics are safe to discuss publicly and worry that their professional reputation could be damaged by a single social media post or community complaint.</w:t>
      </w:r>
    </w:p>
    <w:p w14:paraId="6E29FE0A" w14:textId="77777777" w:rsidR="008F0FAB" w:rsidRPr="008F0FAB" w:rsidRDefault="008F0FAB" w:rsidP="008F0FAB">
      <w:r w:rsidRPr="008F0FAB">
        <w:t>Against this backdrop, a small group of union activists began discussing how the local might help educators support students while navigating an increasingly divided community.</w:t>
      </w:r>
    </w:p>
    <w:p w14:paraId="5C03ADEE" w14:textId="77777777" w:rsidR="008F0FAB" w:rsidRPr="008F0FAB" w:rsidRDefault="008F0FAB" w:rsidP="008F0FAB">
      <w:r w:rsidRPr="008F0FAB">
        <w:t xml:space="preserve">The effort started after several educators attended </w:t>
      </w:r>
      <w:proofErr w:type="gramStart"/>
      <w:r w:rsidRPr="008F0FAB">
        <w:t>trainings</w:t>
      </w:r>
      <w:proofErr w:type="gramEnd"/>
      <w:r w:rsidRPr="008F0FAB">
        <w:t xml:space="preserve"> focused on student wellness, mental health, and creating supportive school environments. Participants returned energized and began talking with colleagues about ways the union could encourage educators to be more visible sources of support for students who might be struggling.</w:t>
      </w:r>
    </w:p>
    <w:p w14:paraId="14347DAC" w14:textId="77777777" w:rsidR="008F0FAB" w:rsidRPr="008F0FAB" w:rsidRDefault="008F0FAB" w:rsidP="008F0FAB">
      <w:r w:rsidRPr="008F0FAB">
        <w:t>Initially, the effort was led by only a handful of members. Most conversations occurred informally between trusted coworkers. Several activists designed materials promoting messages of belonging and student support and distributed them to interested educators. They were uncertain how staff members would respond.</w:t>
      </w:r>
    </w:p>
    <w:p w14:paraId="3CC5ECC7" w14:textId="77777777" w:rsidR="008F0FAB" w:rsidRPr="008F0FAB" w:rsidRDefault="008F0FAB" w:rsidP="008F0FAB">
      <w:r w:rsidRPr="008F0FAB">
        <w:t>To their surprise, educators from multiple schools expressed interest. Several teachers requested posters and classroom signs that communicated support for students. A few support professionals asked whether they could participate as well. Even some administrators quietly expressed appreciation for the effort and indicated they would support conversations about student wellness.</w:t>
      </w:r>
    </w:p>
    <w:p w14:paraId="1019581A" w14:textId="77777777" w:rsidR="008F0FAB" w:rsidRPr="008F0FAB" w:rsidRDefault="008F0FAB" w:rsidP="008F0FAB">
      <w:r w:rsidRPr="008F0FAB">
        <w:lastRenderedPageBreak/>
        <w:t>However, support was far from universal.</w:t>
      </w:r>
    </w:p>
    <w:p w14:paraId="37558DB3" w14:textId="77777777" w:rsidR="008F0FAB" w:rsidRPr="008F0FAB" w:rsidRDefault="008F0FAB" w:rsidP="008F0FAB">
      <w:r w:rsidRPr="008F0FAB">
        <w:t>Many educators privately agreed with the goals but were reluctant to participate publicly. Some feared criticism from parents. Others worried that community members might misinterpret their intentions. Several members stated they agreed with the values behind the effort but did not want their names attached to anything visible.</w:t>
      </w:r>
    </w:p>
    <w:p w14:paraId="6829E4F7" w14:textId="77777777" w:rsidR="008F0FAB" w:rsidRPr="008F0FAB" w:rsidRDefault="008F0FAB" w:rsidP="008F0FAB">
      <w:r w:rsidRPr="008F0FAB">
        <w:t>As a result, a small number of activists continued doing most of the organizing work.</w:t>
      </w:r>
    </w:p>
    <w:p w14:paraId="2A41C8E0" w14:textId="77777777" w:rsidR="008F0FAB" w:rsidRPr="008F0FAB" w:rsidRDefault="008F0FAB" w:rsidP="008F0FAB">
      <w:r w:rsidRPr="008F0FAB">
        <w:t>The union's executive board encouraged members to share stories about student needs and school climate concerns. Listening sessions were held both virtually and in person. Attendance varied. In some schools, meaningful conversations emerged about student mental health, suicide prevention, social isolation, and trusted adult relationships. In others, participation was minimal.</w:t>
      </w:r>
    </w:p>
    <w:p w14:paraId="38C3F77E" w14:textId="77777777" w:rsidR="008F0FAB" w:rsidRPr="008F0FAB" w:rsidRDefault="008F0FAB" w:rsidP="008F0FAB">
      <w:r w:rsidRPr="008F0FAB">
        <w:t>Through these conversations, the union identified a growing number of educators interested in serving as workplace contacts around student support issues. The union created a network of volunteers willing to connect colleagues with resources, share information about available programs, and help identify concerns emerging in their schools.</w:t>
      </w:r>
    </w:p>
    <w:p w14:paraId="50FA6681" w14:textId="77777777" w:rsidR="008F0FAB" w:rsidRPr="008F0FAB" w:rsidRDefault="008F0FAB" w:rsidP="008F0FAB">
      <w:r w:rsidRPr="008F0FAB">
        <w:t>Some of these volunteers became highly active. They organized conversations among coworkers, encouraged participation in trainings, and helped distribute information. Others were supportive but remained largely passive, preferring to assist only when asked directly.</w:t>
      </w:r>
    </w:p>
    <w:p w14:paraId="313B3283" w14:textId="77777777" w:rsidR="008F0FAB" w:rsidRPr="008F0FAB" w:rsidRDefault="008F0FAB" w:rsidP="008F0FAB">
      <w:r w:rsidRPr="008F0FAB">
        <w:t>The union leadership team began discussing whether this informal network should become a more structured organizing effort.</w:t>
      </w:r>
    </w:p>
    <w:p w14:paraId="470DA8A7" w14:textId="77777777" w:rsidR="008F0FAB" w:rsidRPr="008F0FAB" w:rsidRDefault="008F0FAB" w:rsidP="008F0FAB">
      <w:r w:rsidRPr="008F0FAB">
        <w:t>To support the work, LEA developed partnerships with several community organizations focused on student wellness, youth mental health, family support services, and educational equity. These organizations provided resources, training opportunities, and advice on how to communicate effectively in a polarized environment.</w:t>
      </w:r>
    </w:p>
    <w:p w14:paraId="720BD912" w14:textId="77777777" w:rsidR="008F0FAB" w:rsidRPr="008F0FAB" w:rsidRDefault="008F0FAB" w:rsidP="008F0FAB">
      <w:r w:rsidRPr="008F0FAB">
        <w:t>The coalition relationships strengthened the campaign, but most members were only vaguely aware that they existed.</w:t>
      </w:r>
    </w:p>
    <w:p w14:paraId="4B936F8A" w14:textId="77777777" w:rsidR="008F0FAB" w:rsidRPr="008F0FAB" w:rsidRDefault="008F0FAB" w:rsidP="008F0FAB">
      <w:r w:rsidRPr="008F0FAB">
        <w:t>Internally, the union's communication systems expanded significantly. The local created a monthly newsletter, increased social media communication, and began highlighting stories from educators across the district. Open rates improved steadily, and members reported feeling more informed about union activities than they had in previous years.</w:t>
      </w:r>
    </w:p>
    <w:p w14:paraId="722ADF77" w14:textId="77777777" w:rsidR="008F0FAB" w:rsidRPr="008F0FAB" w:rsidRDefault="008F0FAB" w:rsidP="008F0FAB">
      <w:r w:rsidRPr="008F0FAB">
        <w:t>At the same time, leadership recognized a major weakness.</w:t>
      </w:r>
    </w:p>
    <w:p w14:paraId="71CBCC5E" w14:textId="77777777" w:rsidR="008F0FAB" w:rsidRPr="008F0FAB" w:rsidRDefault="008F0FAB" w:rsidP="008F0FAB">
      <w:r w:rsidRPr="008F0FAB">
        <w:lastRenderedPageBreak/>
        <w:t>The local had very little organizing data. Leaders knew who attended meetings and trainings, but they lacked detailed information about which worksites had strong participation, where informal leaders existed, or which members had been contacted through organizing conversations. Decisions were still largely based on anecdotal information rather than systematic analysis.</w:t>
      </w:r>
    </w:p>
    <w:p w14:paraId="326C20F8" w14:textId="77777777" w:rsidR="008F0FAB" w:rsidRPr="008F0FAB" w:rsidRDefault="008F0FAB" w:rsidP="008F0FAB">
      <w:r w:rsidRPr="008F0FAB">
        <w:t>The budget reflected mixed priorities. The union continued investing significant resources in conferences, governance activities, and traditional operations. However, new funding was also being directed toward communications, training opportunities, coalition work, and member engagement activities. Some board members argued for greater investment in organizing infrastructure, while others wanted to maintain long-standing spending patterns.</w:t>
      </w:r>
    </w:p>
    <w:p w14:paraId="79399671" w14:textId="77777777" w:rsidR="008F0FAB" w:rsidRPr="008F0FAB" w:rsidRDefault="008F0FAB" w:rsidP="008F0FAB">
      <w:r w:rsidRPr="008F0FAB">
        <w:t>The role of staff was also evolving.</w:t>
      </w:r>
    </w:p>
    <w:p w14:paraId="314D70C7" w14:textId="77777777" w:rsidR="008F0FAB" w:rsidRPr="008F0FAB" w:rsidRDefault="008F0FAB" w:rsidP="008F0FAB">
      <w:r w:rsidRPr="008F0FAB">
        <w:t xml:space="preserve">Historically, members relied heavily on staff to solve problems and guide campaigns. In this emerging effort, staff encouraged members to take ownership of conversations, relationship-building, and outreach. Staff frequently coached activists and helped connect them with resources, but members still looked to staff for </w:t>
      </w:r>
      <w:proofErr w:type="gramStart"/>
      <w:r w:rsidRPr="008F0FAB">
        <w:t>direction</w:t>
      </w:r>
      <w:proofErr w:type="gramEnd"/>
      <w:r w:rsidRPr="008F0FAB">
        <w:t xml:space="preserve"> on many decisions.</w:t>
      </w:r>
    </w:p>
    <w:p w14:paraId="02EC425C" w14:textId="77777777" w:rsidR="008F0FAB" w:rsidRPr="008F0FAB" w:rsidRDefault="008F0FAB" w:rsidP="008F0FAB">
      <w:r w:rsidRPr="008F0FAB">
        <w:t>Questions of equity surfaced throughout the campaign.</w:t>
      </w:r>
    </w:p>
    <w:p w14:paraId="3CBA8283" w14:textId="77777777" w:rsidR="008F0FAB" w:rsidRPr="008F0FAB" w:rsidRDefault="008F0FAB" w:rsidP="008F0FAB">
      <w:r w:rsidRPr="008F0FAB">
        <w:t>Leaders observed that participation was strongest among veteran educators and weakest among newer educators, education support professionals, and staff from several buildings serving lower-income communities. While the union frequently discussed inclusion and access, it had not yet systematically examined who participated, who held leadership positions, and what barriers might prevent broader engagement.</w:t>
      </w:r>
    </w:p>
    <w:p w14:paraId="5A2DB32F" w14:textId="77777777" w:rsidR="008F0FAB" w:rsidRPr="008F0FAB" w:rsidRDefault="008F0FAB" w:rsidP="008F0FAB">
      <w:r w:rsidRPr="008F0FAB">
        <w:t xml:space="preserve">As the school year progressed, more educators became visible supporters of the effort. Several schools displayed supportive signage. More members attended </w:t>
      </w:r>
      <w:proofErr w:type="gramStart"/>
      <w:r w:rsidRPr="008F0FAB">
        <w:t>trainings</w:t>
      </w:r>
      <w:proofErr w:type="gramEnd"/>
      <w:r w:rsidRPr="008F0FAB">
        <w:t xml:space="preserve"> than ever before. New relationships were forming across buildings.</w:t>
      </w:r>
    </w:p>
    <w:p w14:paraId="263FE984" w14:textId="77777777" w:rsidR="008F0FAB" w:rsidRPr="008F0FAB" w:rsidRDefault="008F0FAB" w:rsidP="008F0FAB">
      <w:r w:rsidRPr="008F0FAB">
        <w:t>Yet many activists felt the campaign remained fragile.</w:t>
      </w:r>
    </w:p>
    <w:p w14:paraId="7CEE45D1" w14:textId="77777777" w:rsidR="008F0FAB" w:rsidRPr="008F0FAB" w:rsidRDefault="008F0FAB" w:rsidP="008F0FAB">
      <w:r w:rsidRPr="008F0FAB">
        <w:t xml:space="preserve">Participation was growing, but a relatively small group continued to </w:t>
      </w:r>
      <w:proofErr w:type="gramStart"/>
      <w:r w:rsidRPr="008F0FAB">
        <w:t>drive</w:t>
      </w:r>
      <w:proofErr w:type="gramEnd"/>
      <w:r w:rsidRPr="008F0FAB">
        <w:t xml:space="preserve"> most activities. Coalition partners were engaged, but member understanding of those partnerships remained limited. Communication had improved dramatically, but organizing structures were uneven. Leaders were uncertain whether they had built a sustainable movement or simply a successful project driven by a few passionate individuals.</w:t>
      </w:r>
    </w:p>
    <w:p w14:paraId="5BF94D19" w14:textId="77777777" w:rsidR="008F0FAB" w:rsidRPr="008F0FAB" w:rsidRDefault="008F0FAB" w:rsidP="008F0FAB">
      <w:r w:rsidRPr="008F0FAB">
        <w:t xml:space="preserve">At the next leadership retreat, members are asked to use the </w:t>
      </w:r>
      <w:hyperlink r:id="rId8" w:history="1">
        <w:r w:rsidRPr="008F0FAB">
          <w:rPr>
            <w:rStyle w:val="Hyperlink"/>
          </w:rPr>
          <w:t>High Participation Assessment Tool only.docx</w:t>
        </w:r>
      </w:hyperlink>
      <w:r w:rsidRPr="008F0FAB">
        <w:t xml:space="preserve"> to assess the local's current capacity and determine what would be required to build a truly high-participation organization. The discussion is </w:t>
      </w:r>
      <w:r w:rsidRPr="008F0FAB">
        <w:lastRenderedPageBreak/>
        <w:t>expected to focus not only on what the local has accomplished, but also on the gaps that remain in leadership development, organizing structures, member engagement, worksite capacity, data use, equity, coalition power, and distributed ownership of the work.</w:t>
      </w:r>
    </w:p>
    <w:p w14:paraId="060FA0C3" w14:textId="77777777" w:rsidR="008F0FAB" w:rsidRPr="008F0FAB" w:rsidRDefault="008F0FAB" w:rsidP="008F0FAB">
      <w:pPr>
        <w:rPr>
          <w:b/>
          <w:bCs/>
        </w:rPr>
      </w:pPr>
      <w:r w:rsidRPr="008F0FAB">
        <w:rPr>
          <w:b/>
          <w:bCs/>
        </w:rPr>
        <w:t>Discussion Questions</w:t>
      </w:r>
    </w:p>
    <w:p w14:paraId="209702CD" w14:textId="77777777" w:rsidR="008F0FAB" w:rsidRPr="008F0FAB" w:rsidRDefault="008F0FAB" w:rsidP="008F0FAB">
      <w:pPr>
        <w:numPr>
          <w:ilvl w:val="0"/>
          <w:numId w:val="1"/>
        </w:numPr>
      </w:pPr>
      <w:r w:rsidRPr="008F0FAB">
        <w:t>How would you score the local on each of the 13 dimensions in the assessment tool?</w:t>
      </w:r>
    </w:p>
    <w:p w14:paraId="5C534185" w14:textId="77777777" w:rsidR="008F0FAB" w:rsidRPr="008F0FAB" w:rsidRDefault="008F0FAB" w:rsidP="008F0FAB">
      <w:pPr>
        <w:numPr>
          <w:ilvl w:val="0"/>
          <w:numId w:val="1"/>
        </w:numPr>
      </w:pPr>
      <w:r w:rsidRPr="008F0FAB">
        <w:t>Which categories are strongest? What evidence supports those ratings?</w:t>
      </w:r>
    </w:p>
    <w:p w14:paraId="01057D5D" w14:textId="77777777" w:rsidR="008F0FAB" w:rsidRPr="008F0FAB" w:rsidRDefault="008F0FAB" w:rsidP="008F0FAB">
      <w:pPr>
        <w:numPr>
          <w:ilvl w:val="0"/>
          <w:numId w:val="1"/>
        </w:numPr>
      </w:pPr>
      <w:r w:rsidRPr="008F0FAB">
        <w:t>Which categories appear to be transitioning from a 2 to a 3?</w:t>
      </w:r>
    </w:p>
    <w:p w14:paraId="4AA6F76E" w14:textId="77777777" w:rsidR="008F0FAB" w:rsidRPr="008F0FAB" w:rsidRDefault="008F0FAB" w:rsidP="008F0FAB">
      <w:pPr>
        <w:numPr>
          <w:ilvl w:val="0"/>
          <w:numId w:val="1"/>
        </w:numPr>
      </w:pPr>
      <w:r w:rsidRPr="008F0FAB">
        <w:t>Where is union work still concentrated among a small group of activists?</w:t>
      </w:r>
    </w:p>
    <w:p w14:paraId="026F1BF8" w14:textId="77777777" w:rsidR="008F0FAB" w:rsidRPr="008F0FAB" w:rsidRDefault="008F0FAB" w:rsidP="008F0FAB">
      <w:pPr>
        <w:numPr>
          <w:ilvl w:val="0"/>
          <w:numId w:val="1"/>
        </w:numPr>
      </w:pPr>
      <w:r w:rsidRPr="008F0FAB">
        <w:t>How effective are the local's communication systems compared to its organizing systems?</w:t>
      </w:r>
    </w:p>
    <w:p w14:paraId="7B90B256" w14:textId="77777777" w:rsidR="008F0FAB" w:rsidRPr="008F0FAB" w:rsidRDefault="008F0FAB" w:rsidP="008F0FAB">
      <w:pPr>
        <w:numPr>
          <w:ilvl w:val="0"/>
          <w:numId w:val="1"/>
        </w:numPr>
      </w:pPr>
      <w:r w:rsidRPr="008F0FAB">
        <w:t>What additional worksite structures would need to be developed?</w:t>
      </w:r>
    </w:p>
    <w:p w14:paraId="791684C1" w14:textId="77777777" w:rsidR="008F0FAB" w:rsidRPr="008F0FAB" w:rsidRDefault="008F0FAB" w:rsidP="008F0FAB">
      <w:pPr>
        <w:numPr>
          <w:ilvl w:val="0"/>
          <w:numId w:val="1"/>
        </w:numPr>
      </w:pPr>
      <w:r w:rsidRPr="008F0FAB">
        <w:t>How well is the local using coalition partnerships and community power?</w:t>
      </w:r>
    </w:p>
    <w:p w14:paraId="6FEFC617" w14:textId="77777777" w:rsidR="008F0FAB" w:rsidRPr="008F0FAB" w:rsidRDefault="008F0FAB" w:rsidP="008F0FAB">
      <w:pPr>
        <w:numPr>
          <w:ilvl w:val="0"/>
          <w:numId w:val="1"/>
        </w:numPr>
      </w:pPr>
      <w:r w:rsidRPr="008F0FAB">
        <w:t>What organizing data is missing?</w:t>
      </w:r>
    </w:p>
    <w:p w14:paraId="5C8F426F" w14:textId="77777777" w:rsidR="008F0FAB" w:rsidRPr="008F0FAB" w:rsidRDefault="008F0FAB" w:rsidP="008F0FAB">
      <w:pPr>
        <w:numPr>
          <w:ilvl w:val="0"/>
          <w:numId w:val="1"/>
        </w:numPr>
      </w:pPr>
      <w:r w:rsidRPr="008F0FAB">
        <w:t xml:space="preserve">How effectively </w:t>
      </w:r>
      <w:proofErr w:type="gramStart"/>
      <w:r w:rsidRPr="008F0FAB">
        <w:t>is</w:t>
      </w:r>
      <w:proofErr w:type="gramEnd"/>
      <w:r w:rsidRPr="008F0FAB">
        <w:t xml:space="preserve"> the local centering equity and participation across different groups of members?</w:t>
      </w:r>
    </w:p>
    <w:p w14:paraId="12CD49DF" w14:textId="77777777" w:rsidR="007A6F95" w:rsidRDefault="007A6F95"/>
    <w:sectPr w:rsidR="007A6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E11E8"/>
    <w:multiLevelType w:val="multilevel"/>
    <w:tmpl w:val="510E1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12845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FAB"/>
    <w:rsid w:val="00046B32"/>
    <w:rsid w:val="007A6F95"/>
    <w:rsid w:val="008F0FAB"/>
    <w:rsid w:val="00994E49"/>
    <w:rsid w:val="00A460C2"/>
    <w:rsid w:val="00D156E0"/>
    <w:rsid w:val="00EB1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D3BE6"/>
  <w15:chartTrackingRefBased/>
  <w15:docId w15:val="{CC896E78-D93B-4C22-A92E-2028076BD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0FA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8F0FA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F0FAB"/>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F0FAB"/>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F0FAB"/>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F0F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0F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0F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0F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0FA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8F0FA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F0FA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F0FA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F0FA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F0F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0F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0F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0FAB"/>
    <w:rPr>
      <w:rFonts w:eastAsiaTheme="majorEastAsia" w:cstheme="majorBidi"/>
      <w:color w:val="272727" w:themeColor="text1" w:themeTint="D8"/>
    </w:rPr>
  </w:style>
  <w:style w:type="paragraph" w:styleId="Title">
    <w:name w:val="Title"/>
    <w:basedOn w:val="Normal"/>
    <w:next w:val="Normal"/>
    <w:link w:val="TitleChar"/>
    <w:uiPriority w:val="10"/>
    <w:qFormat/>
    <w:rsid w:val="008F0F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0F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0F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0F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0FAB"/>
    <w:pPr>
      <w:spacing w:before="160"/>
      <w:jc w:val="center"/>
    </w:pPr>
    <w:rPr>
      <w:i/>
      <w:iCs/>
      <w:color w:val="404040" w:themeColor="text1" w:themeTint="BF"/>
    </w:rPr>
  </w:style>
  <w:style w:type="character" w:customStyle="1" w:styleId="QuoteChar">
    <w:name w:val="Quote Char"/>
    <w:basedOn w:val="DefaultParagraphFont"/>
    <w:link w:val="Quote"/>
    <w:uiPriority w:val="29"/>
    <w:rsid w:val="008F0FAB"/>
    <w:rPr>
      <w:i/>
      <w:iCs/>
      <w:color w:val="404040" w:themeColor="text1" w:themeTint="BF"/>
    </w:rPr>
  </w:style>
  <w:style w:type="paragraph" w:styleId="ListParagraph">
    <w:name w:val="List Paragraph"/>
    <w:basedOn w:val="Normal"/>
    <w:uiPriority w:val="34"/>
    <w:qFormat/>
    <w:rsid w:val="008F0FAB"/>
    <w:pPr>
      <w:ind w:left="720"/>
      <w:contextualSpacing/>
    </w:pPr>
  </w:style>
  <w:style w:type="character" w:styleId="IntenseEmphasis">
    <w:name w:val="Intense Emphasis"/>
    <w:basedOn w:val="DefaultParagraphFont"/>
    <w:uiPriority w:val="21"/>
    <w:qFormat/>
    <w:rsid w:val="008F0FAB"/>
    <w:rPr>
      <w:i/>
      <w:iCs/>
      <w:color w:val="2E74B5" w:themeColor="accent1" w:themeShade="BF"/>
    </w:rPr>
  </w:style>
  <w:style w:type="paragraph" w:styleId="IntenseQuote">
    <w:name w:val="Intense Quote"/>
    <w:basedOn w:val="Normal"/>
    <w:next w:val="Normal"/>
    <w:link w:val="IntenseQuoteChar"/>
    <w:uiPriority w:val="30"/>
    <w:qFormat/>
    <w:rsid w:val="008F0FA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F0FAB"/>
    <w:rPr>
      <w:i/>
      <w:iCs/>
      <w:color w:val="2E74B5" w:themeColor="accent1" w:themeShade="BF"/>
    </w:rPr>
  </w:style>
  <w:style w:type="character" w:styleId="IntenseReference">
    <w:name w:val="Intense Reference"/>
    <w:basedOn w:val="DefaultParagraphFont"/>
    <w:uiPriority w:val="32"/>
    <w:qFormat/>
    <w:rsid w:val="008F0FAB"/>
    <w:rPr>
      <w:b/>
      <w:bCs/>
      <w:smallCaps/>
      <w:color w:val="2E74B5" w:themeColor="accent1" w:themeShade="BF"/>
      <w:spacing w:val="5"/>
    </w:rPr>
  </w:style>
  <w:style w:type="character" w:styleId="Hyperlink">
    <w:name w:val="Hyperlink"/>
    <w:basedOn w:val="DefaultParagraphFont"/>
    <w:uiPriority w:val="99"/>
    <w:unhideWhenUsed/>
    <w:rsid w:val="008F0FAB"/>
    <w:rPr>
      <w:color w:val="0563C1" w:themeColor="hyperlink"/>
      <w:u w:val="single"/>
    </w:rPr>
  </w:style>
  <w:style w:type="character" w:styleId="UnresolvedMention">
    <w:name w:val="Unresolved Mention"/>
    <w:basedOn w:val="DefaultParagraphFont"/>
    <w:uiPriority w:val="99"/>
    <w:semiHidden/>
    <w:unhideWhenUsed/>
    <w:rsid w:val="008F0F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ahq-my.sharepoint.com/personal/eholmes_nea_org/_layouts/15/Doc.aspx?sourcedoc=%7B087219B5-C885-45F1-A445-59B300547F7E%7D&amp;file=High%20Participation%20Assessment%20Tool%20only.docx&amp;action=default&amp;mobileredirect=true&amp;EntityRepresentationId=bd353393-186c-480d-a78d-0aa7c177ead1"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187225-D254-49FC-A45D-EF8408FE3845}">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B8AA4391-9FCB-4872-A5FF-17DA415B55E1}">
  <ds:schemaRefs>
    <ds:schemaRef ds:uri="http://schemas.microsoft.com/sharepoint/v3/contenttype/forms"/>
  </ds:schemaRefs>
</ds:datastoreItem>
</file>

<file path=customXml/itemProps3.xml><?xml version="1.0" encoding="utf-8"?>
<ds:datastoreItem xmlns:ds="http://schemas.openxmlformats.org/officeDocument/2006/customXml" ds:itemID="{6AB07DEC-52FC-4E12-B2E6-5576EA8C1B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1456</Words>
  <Characters>7312</Characters>
  <Application>Microsoft Office Word</Application>
  <DocSecurity>0</DocSecurity>
  <Lines>197</Lines>
  <Paragraphs>105</Paragraphs>
  <ScaleCrop>false</ScaleCrop>
  <Company>NEA</Company>
  <LinksUpToDate>false</LinksUpToDate>
  <CharactersWithSpaces>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2026-08-06T00:38:00Z</dcterms:created>
  <dcterms:modified xsi:type="dcterms:W3CDTF">2026-09-17T19:47:00Z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