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Calibri" w:hAnsi="Calibri"/>
          <w:b/>
          <w:color w:val="1B365D"/>
          <w:sz w:val="44"/>
        </w:rPr>
        <w:t>High Participation Local Process Guide</w:t>
      </w:r>
    </w:p>
    <w:p>
      <w:pPr>
        <w:spacing w:before="0" w:after="360"/>
        <w:jc w:val="center"/>
      </w:pPr>
      <w:r>
        <w:rPr>
          <w:rFonts w:ascii="Calibri" w:hAnsi="Calibri"/>
          <w:i/>
          <w:color w:val="006666"/>
          <w:sz w:val="26"/>
        </w:rPr>
        <w:t>Reflection, Action Planning, and Coaching Matrix (11-Dimension Alignment)</w:t>
      </w:r>
    </w:p>
    <w:p>
      <w:pPr>
        <w:spacing w:before="0" w:after="120" w:line="276" w:lineRule="auto"/>
      </w:pPr>
      <w:r>
        <w:t>Purpose: This guide walks local union leadership teams (officers, staff, executive board members, building delegates, and Contract Action Team leads) through analyzing self-assessment results, identifying capacity bottlenecks, centering equity, and executing incremental action plans to build supermajority power.</w:t>
      </w:r>
    </w:p>
    <w:p>
      <w:pPr>
        <w:keepNext/>
        <w:spacing w:before="320" w:after="120"/>
      </w:pPr>
      <w:r>
        <w:rPr>
          <w:rFonts w:ascii="Calibri" w:hAnsi="Calibri"/>
          <w:b/>
          <w:color w:val="1B365D"/>
          <w:sz w:val="30"/>
        </w:rPr>
        <w:t>Part I: Post-Assessment Analysis (Steps 3–7)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Step 3: Identify Organizational Strengths</w:t>
      </w:r>
    </w:p>
    <w:p>
      <w:pPr>
        <w:spacing w:before="0" w:after="120" w:line="276" w:lineRule="auto"/>
      </w:pPr>
      <w:r>
        <w:t>Circle all categories scoring 3 (Growing) or 4 (High Participation). Discuss: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What are we doing well? </w:t>
      </w:r>
      <w:r>
        <w:t>Which specific practices or structures created this success?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Systemic Roots: </w:t>
      </w:r>
      <w:r>
        <w:t>What underlying systems (e.g., active wall-charts, 1:10 CAT networks, open bargaining) drove these scores?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Asset Leverage: </w:t>
      </w:r>
      <w:r>
        <w:t>How can these high-performing assets accelerate growth in lower-scoring categories?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Replication: </w:t>
      </w:r>
      <w:r>
        <w:t>Which specific organizing practices can be adapted across underperforming worksites or job classifications?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Step 4: Identify Priority Growth Areas</w:t>
      </w:r>
    </w:p>
    <w:p>
      <w:pPr>
        <w:spacing w:before="0" w:after="120" w:line="276" w:lineRule="auto"/>
      </w:pPr>
      <w:r>
        <w:t>Highlight all categories scoring 1 (Servicing) or 2 (Emerging). Rather than attempting to fix everything at once, select no more than three strategic priorities: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Priority 1 (The Bottleneck): </w:t>
      </w:r>
      <w:r>
        <w:t>The category currently placing the greatest structural limit on the local’s growth (e.g., lacking site-level CATs).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Priority 2 (The Multiplier): </w:t>
      </w:r>
      <w:r>
        <w:t>The category that will create the greatest immediate surge in member power if upgraded (e.g., shifting staff into strategic coaches).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Priority 3 (Campaign Catalyst): </w:t>
      </w:r>
      <w:r>
        <w:t>The category most directly tied to upcoming contract negotiations or community defense campaigns.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Step 5: Analyze Foundational Capacity Drivers</w:t>
      </w:r>
    </w:p>
    <w:p>
      <w:pPr>
        <w:spacing w:before="0" w:after="120" w:line="276" w:lineRule="auto"/>
      </w:pPr>
      <w:r>
        <w:t>Certain dimensions act as structural engines for the entire local union. When these core capacity drivers score low, progress across other dimensions becomes nearly impossible.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600"/>
            <w:shd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Weak Foundational Capacity Area</w:t>
            </w:r>
          </w:p>
        </w:tc>
        <w:tc>
          <w:tcPr>
            <w:tcW w:type="dxa" w:w="6336"/>
            <w:shd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Direct Organizational Impact</w:t>
            </w:r>
          </w:p>
        </w:tc>
      </w:tr>
      <w:tr>
        <w:tc>
          <w:tcPr>
            <w:tcW w:type="dxa" w:w="3600"/>
            <w:shd w:fill="F9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1B365D"/>
                <w:sz w:val="19"/>
              </w:rPr>
              <w:t>Dimension 1: Site Leaders &amp; CATs</w:t>
            </w:r>
          </w:p>
        </w:tc>
        <w:tc>
          <w:tcPr>
            <w:tcW w:type="dxa" w:w="6336"/>
            <w:shd w:fill="F9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19"/>
              </w:rPr>
              <w:t>Weak campaign execution, isolated members, and slow communication.</w:t>
            </w:r>
          </w:p>
        </w:tc>
      </w:tr>
      <w:tr>
        <w:tc>
          <w:tcPr>
            <w:tcW w:type="dxa" w:w="360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1B365D"/>
                <w:sz w:val="19"/>
              </w:rPr>
              <w:t>Dimension 2: Union Staff Role</w:t>
            </w:r>
          </w:p>
        </w:tc>
        <w:tc>
          <w:tcPr>
            <w:tcW w:type="dxa" w:w="6336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19"/>
              </w:rPr>
              <w:t>Staff bottlenecking growth by acting as third-party problem-solvers.</w:t>
            </w:r>
          </w:p>
        </w:tc>
      </w:tr>
      <w:tr>
        <w:tc>
          <w:tcPr>
            <w:tcW w:type="dxa" w:w="3600"/>
            <w:shd w:fill="F9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1B365D"/>
                <w:sz w:val="19"/>
              </w:rPr>
              <w:t>Dimension 5: President’s Leadership</w:t>
            </w:r>
          </w:p>
        </w:tc>
        <w:tc>
          <w:tcPr>
            <w:tcW w:type="dxa" w:w="6336"/>
            <w:shd w:fill="F9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19"/>
              </w:rPr>
              <w:t>Firefighting default; failure to guard the Strategic Roadmap.</w:t>
            </w:r>
          </w:p>
        </w:tc>
      </w:tr>
      <w:tr>
        <w:tc>
          <w:tcPr>
            <w:tcW w:type="dxa" w:w="360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1B365D"/>
                <w:sz w:val="19"/>
              </w:rPr>
              <w:t>Dimension 6: Data &amp; Wall-Charting</w:t>
            </w:r>
          </w:p>
        </w:tc>
        <w:tc>
          <w:tcPr>
            <w:tcW w:type="dxa" w:w="6336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19"/>
              </w:rPr>
              <w:t>Poor resource allocation, guesswork, and blind spots in member coverage.</w:t>
            </w:r>
          </w:p>
        </w:tc>
      </w:tr>
      <w:tr>
        <w:tc>
          <w:tcPr>
            <w:tcW w:type="dxa" w:w="3600"/>
            <w:shd w:fill="F9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1B365D"/>
                <w:sz w:val="19"/>
              </w:rPr>
              <w:t>Dimension 7: Member Training</w:t>
            </w:r>
          </w:p>
        </w:tc>
        <w:tc>
          <w:tcPr>
            <w:tcW w:type="dxa" w:w="6336"/>
            <w:shd w:fill="F9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19"/>
              </w:rPr>
              <w:t>Lack of rank-and-file confidence, leading to fear of conflict and authority.</w:t>
            </w:r>
          </w:p>
        </w:tc>
      </w:tr>
      <w:tr>
        <w:tc>
          <w:tcPr>
            <w:tcW w:type="dxa" w:w="360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1B365D"/>
                <w:sz w:val="19"/>
              </w:rPr>
              <w:t>Dimension 10: Strategic Roadmap</w:t>
            </w:r>
          </w:p>
        </w:tc>
        <w:tc>
          <w:tcPr>
            <w:tcW w:type="dxa" w:w="6336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19"/>
              </w:rPr>
              <w:t>Constant reactive firefighting; loss of campaign coherence.</w:t>
            </w:r>
          </w:p>
        </w:tc>
      </w:tr>
    </w:tbl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Step 6: Examine Equity Across All Dimensions</w:t>
      </w:r>
    </w:p>
    <w:p>
      <w:pPr>
        <w:spacing w:before="0" w:after="120" w:line="276" w:lineRule="auto"/>
      </w:pPr>
      <w:r>
        <w:t>Equity is not a standalone item; it is a core organizing methodology embedded across every single assessment category. Review your scores using an intentional equity lens: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Who participates and who is missing? </w:t>
      </w:r>
      <w:r>
        <w:t>Are night-shift custodians, ESPs, adjuncts, or rural staff participating at equal rates?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Who leads? </w:t>
      </w:r>
      <w:r>
        <w:t>Does leadership reflect the full demographic, geographic, and occupational diversity of the membership?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Who benefits? </w:t>
      </w:r>
      <w:r>
        <w:t>Do bargaining proposals and budget allocations address historically underrepresented groups?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What structural barriers exist? </w:t>
      </w:r>
      <w:r>
        <w:t>Are meeting times, language access, childcare, or travel distances limiting involvement?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Step 7: Define Next-Level Incremental Actions</w:t>
      </w:r>
    </w:p>
    <w:p>
      <w:pPr>
        <w:spacing w:before="0" w:after="120" w:line="276" w:lineRule="auto"/>
      </w:pPr>
      <w:r>
        <w:t>Organizing growth is built on deliberate step-by-step progress, not overnight perfection. Focus on moving up one level at a time: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0F4F8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spacing w:before="0" w:after="0" w:line="276" w:lineRule="auto"/>
            </w:pPr>
            <w:r>
              <w:rPr>
                <w:b/>
                <w:color w:val="1B365D"/>
              </w:rPr>
              <w:t xml:space="preserve">Growth Arc: </w:t>
            </w:r>
            <w:r>
              <w:rPr>
                <w:i/>
              </w:rPr>
              <w:t>Level 1 (Servicing) ──► Level 2 (Emerging) ──► Level 3 (Growing) ──► Level 4 (High Participation)</w:t>
            </w:r>
          </w:p>
        </w:tc>
      </w:tr>
    </w:tbl>
    <w:p>
      <w:pPr>
        <w:spacing w:after="40"/>
      </w:pP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Moving from Level 1 to Level 2: </w:t>
      </w:r>
      <w:r>
        <w:t>Ask, 'What single, low-barrier action will move us away from passive servicing toward basic member involvement?'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Moving from Level 2 to Level 3: </w:t>
      </w:r>
      <w:r>
        <w:t>Ask, 'What formal systems (e.g., 1:10 CAT structures, regular wall-charting) must we establish to build member-driven capacity?'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Moving from Level 3 to Level 4: </w:t>
      </w:r>
      <w:r>
        <w:t>Ask, 'How do we make this structure self-directed, sustainable, and fully embedded across every worksite?'</w:t>
      </w:r>
    </w:p>
    <w:p>
      <w:pPr>
        <w:keepNext/>
        <w:spacing w:before="320" w:after="120"/>
      </w:pPr>
      <w:r>
        <w:rPr>
          <w:rFonts w:ascii="Calibri" w:hAnsi="Calibri"/>
          <w:b/>
          <w:color w:val="1B365D"/>
          <w:sz w:val="30"/>
        </w:rPr>
        <w:t>Part II: Interpretation Framework &amp; Maturity Model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1728"/>
            <w:shd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Maturity Tier</w:t>
            </w:r>
          </w:p>
        </w:tc>
        <w:tc>
          <w:tcPr>
            <w:tcW w:type="dxa" w:w="1584"/>
            <w:shd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Total Score</w:t>
            </w:r>
          </w:p>
        </w:tc>
        <w:tc>
          <w:tcPr>
            <w:tcW w:type="dxa" w:w="3168"/>
            <w:shd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Operating Mindset &amp; Style</w:t>
            </w:r>
          </w:p>
        </w:tc>
        <w:tc>
          <w:tcPr>
            <w:tcW w:type="dxa" w:w="3456"/>
            <w:shd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Strategic Focus &amp; Goal</w:t>
            </w:r>
          </w:p>
        </w:tc>
      </w:tr>
      <w:tr>
        <w:tc>
          <w:tcPr>
            <w:tcW w:type="dxa" w:w="1728"/>
            <w:shd w:fill="F9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1B365D"/>
                <w:sz w:val="19"/>
              </w:rPr>
              <w:t>Level 1: Servicing Local</w:t>
            </w:r>
          </w:p>
        </w:tc>
        <w:tc>
          <w:tcPr>
            <w:tcW w:type="dxa" w:w="1584"/>
            <w:shd w:fill="F9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sz w:val="19"/>
              </w:rPr>
              <w:t>11 – 18 Pts</w:t>
            </w:r>
          </w:p>
        </w:tc>
        <w:tc>
          <w:tcPr>
            <w:tcW w:type="dxa" w:w="3168"/>
            <w:shd w:fill="F9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19"/>
              </w:rPr>
              <w:t>'The union is a service provider.' Staff/officers solve problems; members are passive consumers.</w:t>
            </w:r>
          </w:p>
        </w:tc>
        <w:tc>
          <w:tcPr>
            <w:tcW w:type="dxa" w:w="3456"/>
            <w:shd w:fill="F9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19"/>
              </w:rPr>
              <w:t>Key Question: 'How can we help members?'</w:t>
              <w:br/>
              <w:t>Goal: Basic problem-solving.</w:t>
            </w:r>
          </w:p>
        </w:tc>
      </w:tr>
      <w:tr>
        <w:tc>
          <w:tcPr>
            <w:tcW w:type="dxa" w:w="172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1B365D"/>
                <w:sz w:val="19"/>
              </w:rPr>
              <w:t>Level 2: Emerging Local</w:t>
            </w:r>
          </w:p>
        </w:tc>
        <w:tc>
          <w:tcPr>
            <w:tcW w:type="dxa" w:w="1584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sz w:val="19"/>
              </w:rPr>
              <w:t>19 – 27 Pts</w:t>
            </w:r>
          </w:p>
        </w:tc>
        <w:tc>
          <w:tcPr>
            <w:tcW w:type="dxa" w:w="316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19"/>
              </w:rPr>
              <w:t>'We need more volunteers.' Leadership wants involvement, but work stays in active core.</w:t>
            </w:r>
          </w:p>
        </w:tc>
        <w:tc>
          <w:tcPr>
            <w:tcW w:type="dxa" w:w="3456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19"/>
              </w:rPr>
              <w:t>Key Question: 'How do we get people involved?'</w:t>
              <w:br/>
              <w:t>Goal: Event turnout.</w:t>
            </w:r>
          </w:p>
        </w:tc>
      </w:tr>
      <w:tr>
        <w:tc>
          <w:tcPr>
            <w:tcW w:type="dxa" w:w="1728"/>
            <w:shd w:fill="F9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1B365D"/>
                <w:sz w:val="19"/>
              </w:rPr>
              <w:t>Level 3: Growing Local</w:t>
            </w:r>
          </w:p>
        </w:tc>
        <w:tc>
          <w:tcPr>
            <w:tcW w:type="dxa" w:w="1584"/>
            <w:shd w:fill="F9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sz w:val="19"/>
              </w:rPr>
              <w:t>28 – 36 Pts</w:t>
            </w:r>
          </w:p>
        </w:tc>
        <w:tc>
          <w:tcPr>
            <w:tcW w:type="dxa" w:w="3168"/>
            <w:shd w:fill="F9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19"/>
              </w:rPr>
              <w:t>'Growth happens through organizing.' 1:10 CATs handle site issues; staff coach.</w:t>
            </w:r>
          </w:p>
        </w:tc>
        <w:tc>
          <w:tcPr>
            <w:tcW w:type="dxa" w:w="3456"/>
            <w:shd w:fill="F9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19"/>
              </w:rPr>
              <w:t>Key Question: 'How do we build power?'</w:t>
              <w:br/>
              <w:t>Goal: Developing leaders.</w:t>
            </w:r>
          </w:p>
        </w:tc>
      </w:tr>
      <w:tr>
        <w:tc>
          <w:tcPr>
            <w:tcW w:type="dxa" w:w="172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1B365D"/>
                <w:sz w:val="19"/>
              </w:rPr>
              <w:t>Level 4: High Participation</w:t>
            </w:r>
          </w:p>
        </w:tc>
        <w:tc>
          <w:tcPr>
            <w:tcW w:type="dxa" w:w="1584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sz w:val="19"/>
              </w:rPr>
              <w:t>37 – 44 Pts</w:t>
            </w:r>
          </w:p>
        </w:tc>
        <w:tc>
          <w:tcPr>
            <w:tcW w:type="dxa" w:w="3168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19"/>
              </w:rPr>
              <w:t>'Members ARE the union.' Supermajority participation; choir-model leadership.</w:t>
            </w:r>
          </w:p>
        </w:tc>
        <w:tc>
          <w:tcPr>
            <w:tcW w:type="dxa" w:w="3456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19"/>
              </w:rPr>
              <w:t>Key Question: 'How do we win and transform?'</w:t>
              <w:br/>
              <w:t>Goal: Supermajority power.</w:t>
            </w:r>
          </w:p>
        </w:tc>
      </w:tr>
    </w:tbl>
    <w:p>
      <w:pPr>
        <w:keepNext/>
        <w:spacing w:before="320" w:after="120"/>
      </w:pPr>
      <w:r>
        <w:rPr>
          <w:rFonts w:ascii="Calibri" w:hAnsi="Calibri"/>
          <w:b/>
          <w:color w:val="1B365D"/>
          <w:sz w:val="30"/>
        </w:rPr>
        <w:t>Part III: The 11-Dimension Coaching Matrix</w:t>
      </w:r>
    </w:p>
    <w:p>
      <w:pPr>
        <w:spacing w:before="0" w:after="120" w:line="276" w:lineRule="auto"/>
      </w:pPr>
      <w:r>
        <w:t>Use these targeted coaching prompts to guide leadership debriefs across each assessment dimension: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1. School Site Leaders &amp; CATs (Dimension 1)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1 → 2: </w:t>
      </w:r>
      <w:r>
        <w:t>Do all worksites have an identified point person?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2 → 3: </w:t>
      </w:r>
      <w:r>
        <w:t>How are site leaders trained to handle Level 1 issues locally rather than calling staff?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3 → 4: </w:t>
      </w:r>
      <w:r>
        <w:t>Does every campus operate an active 1:10 CAT or Site Organizing Squad that reflects the building's full diversity?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2. Union Staff Role (Dimension 2)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1 → 2: </w:t>
      </w:r>
      <w:r>
        <w:t>What routine casework are staff performing that member leaders could learn to handle?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2 → 3: </w:t>
      </w:r>
      <w:r>
        <w:t>How are staff structurally separating individual representational servicing from field organizing?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3 → 4: </w:t>
      </w:r>
      <w:r>
        <w:t>Are staff spending 80%+ of their time coaching, training, and building long-term campaign strategy?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3. Valley Work / Non-Bargaining Lulls (Dimension 3)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1 → 2: </w:t>
      </w:r>
      <w:r>
        <w:t>Does union activity completely stop when the contract is signed?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2 → 3: </w:t>
      </w:r>
      <w:r>
        <w:t>What site enforcement, contract literacy workshops, or needs assessments occur during off-contract lulls?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3 → 4: </w:t>
      </w:r>
      <w:r>
        <w:t>How are non-bargaining periods intentionally leveraged for permanent, non-transactional community-labor alliances?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4. Collective Bargaining (Dimension 4)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1 → 2: </w:t>
      </w:r>
      <w:r>
        <w:t>Is bargaining closed-door and secret, or are members provided basic updates?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2 → 3: </w:t>
      </w:r>
      <w:r>
        <w:t>Has the local expanded its bargaining team and translated dense proposals into plain language?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3 → 4: </w:t>
      </w:r>
      <w:r>
        <w:t>Is bargaining run as an open, mass-representative campaign featuring silent observers and 'common good' demands?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5. President's Leadership &amp; Delegation (Dimension 5)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1 → 2: </w:t>
      </w:r>
      <w:r>
        <w:t>Is the president acting as a daily crisis manager and primary grievance handler?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2 → 3: </w:t>
      </w:r>
      <w:r>
        <w:t>How is the president actively guarding the Strategic Roadmap ('If it's not on the plan, it's not happening')?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3 → 4: </w:t>
      </w:r>
      <w:r>
        <w:t>How effectively is the president delegating geographic turfs and fostering a 'choir model' of shared pacing?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6. Data Systems &amp; Wall-Charting (Dimension 6)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1 → 2: </w:t>
      </w:r>
      <w:r>
        <w:t>Is data management purely administrative (dues tracking)?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2 → 3: </w:t>
      </w:r>
      <w:r>
        <w:t>Are site leaders logging meeting attendance, petition signatures, and member assessments?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3 → 4: </w:t>
      </w:r>
      <w:r>
        <w:t>Are leaders analyzing decentralized digital wall-charts (Action Builder/OrgDB) to evaluate campaign readiness?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7. Member Training Pipelines (Dimension 7)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1 → 2: </w:t>
      </w:r>
      <w:r>
        <w:t>Is training non-existent or limited to reading static policy documents?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2 → 3: </w:t>
      </w:r>
      <w:r>
        <w:t>Does the local offer structured skill workshops (1:1 conversations, charting) at accessible times?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3 → 4: </w:t>
      </w:r>
      <w:r>
        <w:t>Does the local operate multi-tiered pipelines ('Skills to Win', Member Organizers) using a 'gradual release' model?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8. Overcoming Respectability Politics (Dimension 8)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1 → 2: </w:t>
      </w:r>
      <w:r>
        <w:t>Does the local rely on quiet, closed-door labor-management meetings to resolve disputes?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2 → 3: </w:t>
      </w:r>
      <w:r>
        <w:t>Are worksite leaders organizing visible site actions (wear-red days, petition deliveries) to enforce rights?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3 → 4: </w:t>
      </w:r>
      <w:r>
        <w:t>Has the local actively rejected respectability traps, using 1:10 CAT networks to turn isolated fear into protected collective leverage?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9. Defensive Organizing &amp; Anti-Authoritarian Protection (Dimension 9)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1 → 2: </w:t>
      </w:r>
      <w:r>
        <w:t>Does the local ignore community or political crises outside standard contract terms?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2 → 3: </w:t>
      </w:r>
      <w:r>
        <w:t>Does the local coordinate defense efforts with community organizations around major crises?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3 → 4: </w:t>
      </w:r>
      <w:r>
        <w:t>Has the local repurposed its site communication trees and strike machinery for rapid-response community defense (ICE defense, LGBTQ+ youth, election protection)?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10. Strategic Planning &amp; Coherence (Dimension 10)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1 → 2: </w:t>
      </w:r>
      <w:r>
        <w:t>Is the local operating in continuous reactive firefighting mode?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2 → 3: </w:t>
      </w:r>
      <w:r>
        <w:t>Does a strategic plan guide major campaign cycles and budget reallocations?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3 → 4: </w:t>
      </w:r>
      <w:r>
        <w:t>Does a democratized Strategic Roadmap drive all operations, distinguishing structure-building from issue campaigns?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11. Methodical Structure Tests (Dimension 11)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1 → 2: </w:t>
      </w:r>
      <w:r>
        <w:t>Does the local rely on guesswork before escalating campaigns?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2 → 3: </w:t>
      </w:r>
      <w:r>
        <w:t>Are simple structure tests (button days, wear-red days) used to gauge member readiness?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Level 3 → 4: </w:t>
      </w:r>
      <w:r>
        <w:t>Does the local deploy an escalating sequence of quantifiable tests (signed pledges, practice pickets) with strict majoritarian threshold gates (70–80%+)?</w:t>
      </w:r>
    </w:p>
    <w:p>
      <w:pPr>
        <w:keepNext/>
        <w:spacing w:before="320" w:after="120"/>
      </w:pPr>
      <w:r>
        <w:rPr>
          <w:rFonts w:ascii="Calibri" w:hAnsi="Calibri"/>
          <w:b/>
          <w:color w:val="1B365D"/>
          <w:sz w:val="30"/>
        </w:rPr>
        <w:t>Part IV: Reflection &amp; Organizational Action Plan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1. The Grand Coaching Question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0F4F8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spacing w:before="0" w:after="0" w:line="276" w:lineRule="auto"/>
            </w:pPr>
            <w:r>
              <w:rPr>
                <w:b/>
                <w:color w:val="1B365D"/>
              </w:rPr>
              <w:t xml:space="preserve">Core Reflection: </w:t>
            </w:r>
            <w:r>
              <w:rPr>
                <w:i/>
              </w:rPr>
              <w:t>What would need to be true for twice as many members to take meaningful responsibility for the success of this union?</w:t>
            </w:r>
          </w:p>
        </w:tc>
      </w:tr>
    </w:tbl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2. Key Outcome Measures (Tracking Matrix)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Internal Power Measures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Supermajority Density: </w:t>
      </w:r>
      <w:r>
        <w:t>80%+ member density across all worksites and job classifications.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Supermajority Engagement: </w:t>
      </w:r>
      <w:r>
        <w:t>70%+ participation in structure tests and campaign actions.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CAT Coverage: </w:t>
      </w:r>
      <w:r>
        <w:t>Active 1:10 member-to-leader communication trees in every building.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Representative Leadership: </w:t>
      </w:r>
      <w:r>
        <w:t>Leaders matching member diversity across race, gender, classification, and shift.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External Power Measures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Durable Coalitions: </w:t>
      </w:r>
      <w:r>
        <w:t>Permanent, non-transactional community-labor partnerships.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Common Good Bargaining: </w:t>
      </w:r>
      <w:r>
        <w:t>Campaigns centered on community, racial, and economic justice demands.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Rapid Response: </w:t>
      </w:r>
      <w:r>
        <w:t>Repurposed strike machinery capable of mobilizing rapid community defense within 48 hours.</w:t>
      </w:r>
    </w:p>
    <w:p>
      <w:pPr>
        <w:keepNext/>
        <w:spacing w:before="240" w:after="80"/>
      </w:pPr>
      <w:r>
        <w:rPr>
          <w:rFonts w:ascii="Calibri" w:hAnsi="Calibri"/>
          <w:b/>
          <w:color w:val="006666"/>
          <w:sz w:val="24"/>
        </w:rPr>
        <w:t>3. Growth Snapshot (12-Month Action Plan)</w:t>
      </w:r>
    </w:p>
    <w:p>
      <w:pPr>
        <w:spacing w:before="0" w:after="120" w:line="276" w:lineRule="auto"/>
      </w:pPr>
      <w:r>
        <w:t>Complete these four strategic statements at the conclusion of the self-assessment retreat: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1. Our greatest organizational strengths are: </w:t>
      </w:r>
      <w:r>
        <w:t>____________________________________________________________________________________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2. Our most significant capacity bottlenecks are: </w:t>
      </w:r>
      <w:r>
        <w:t>____________________________________________________________________________________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3. The emerging rank-and-file leaders we must intentionally develop are: </w:t>
      </w:r>
      <w:r>
        <w:t>____________________________________________________________________________________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4. The three highest-impact priority actions we will execute in the next 12 months are: </w:t>
      </w:r>
      <w:r/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   • Priority Action 1: </w:t>
      </w:r>
      <w:r>
        <w:t>__________________________________________________________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   • Priority Action 2: </w:t>
      </w:r>
      <w:r>
        <w:t>__________________________________________________________</w:t>
      </w:r>
    </w:p>
    <w:p>
      <w:pPr>
        <w:pStyle w:val="ListBullet"/>
        <w:spacing w:before="0" w:after="70" w:line="276" w:lineRule="auto"/>
      </w:pPr>
      <w:r>
        <w:rPr>
          <w:b/>
          <w:color w:val="1B365D"/>
        </w:rPr>
        <w:t xml:space="preserve">   • Priority Action 3: </w:t>
      </w:r>
      <w:r>
        <w:t>__________________________________________________________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D24F1F-2831-462E-A3D5-57352E446F89}"/>
</file>

<file path=customXml/itemProps3.xml><?xml version="1.0" encoding="utf-8"?>
<ds:datastoreItem xmlns:ds="http://schemas.openxmlformats.org/officeDocument/2006/customXml" ds:itemID="{04B8CC88-F84E-47B2-A856-1443A8205EFD}"/>
</file>

<file path=customXml/itemProps4.xml><?xml version="1.0" encoding="utf-8"?>
<ds:datastoreItem xmlns:ds="http://schemas.openxmlformats.org/officeDocument/2006/customXml" ds:itemID="{F0317CCD-FAFB-4212-92A1-77479A97EF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