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67F5" w14:textId="77777777" w:rsidR="007639DA" w:rsidRPr="00965FEB" w:rsidRDefault="00D46AF7" w:rsidP="00965FEB">
      <w:pPr>
        <w:pStyle w:val="Title"/>
        <w:spacing w:before="0" w:after="0"/>
        <w:rPr>
          <w:rFonts w:asciiTheme="majorHAnsi" w:hAnsiTheme="majorHAnsi" w:cstheme="majorHAnsi"/>
          <w:color w:val="000000" w:themeColor="text1"/>
          <w:sz w:val="36"/>
          <w:szCs w:val="36"/>
        </w:rPr>
      </w:pPr>
      <w:bookmarkStart w:id="0" w:name="_m5z7ieka2rry" w:colFirst="0" w:colLast="0"/>
      <w:bookmarkEnd w:id="0"/>
      <w:r w:rsidRPr="00965FEB">
        <w:rPr>
          <w:rFonts w:asciiTheme="majorHAnsi" w:hAnsiTheme="majorHAnsi" w:cstheme="majorHAnsi"/>
          <w:color w:val="000000" w:themeColor="text1"/>
          <w:sz w:val="36"/>
          <w:szCs w:val="36"/>
        </w:rPr>
        <w:t>High Participation Local Self-Assessment Tool</w:t>
      </w:r>
    </w:p>
    <w:p w14:paraId="707067F6" w14:textId="77777777" w:rsidR="007639DA" w:rsidRPr="00965FEB" w:rsidRDefault="00D46AF7" w:rsidP="00965FEB">
      <w:pPr>
        <w:pStyle w:val="Heading1"/>
        <w:spacing w:before="0" w:after="0"/>
        <w:rPr>
          <w:rFonts w:asciiTheme="majorHAnsi" w:hAnsiTheme="majorHAnsi" w:cstheme="majorHAnsi"/>
          <w:color w:val="000000" w:themeColor="text1"/>
          <w:sz w:val="24"/>
          <w:szCs w:val="24"/>
        </w:rPr>
      </w:pPr>
      <w:bookmarkStart w:id="1" w:name="_ni3tizlyuufk" w:colFirst="0" w:colLast="0"/>
      <w:bookmarkEnd w:id="1"/>
      <w:r w:rsidRPr="00965FEB">
        <w:rPr>
          <w:rFonts w:asciiTheme="majorHAnsi" w:hAnsiTheme="majorHAnsi" w:cstheme="majorHAnsi"/>
          <w:color w:val="000000" w:themeColor="text1"/>
          <w:sz w:val="24"/>
          <w:szCs w:val="24"/>
        </w:rPr>
        <w:t>Rating Scale</w:t>
      </w:r>
    </w:p>
    <w:p w14:paraId="707067F7" w14:textId="3C80D539" w:rsidR="007639DA" w:rsidRPr="00965FEB" w:rsidRDefault="00D46AF7" w:rsidP="00965FEB">
      <w:pPr>
        <w:numPr>
          <w:ilvl w:val="0"/>
          <w:numId w:val="1"/>
        </w:numPr>
        <w:rPr>
          <w:rFonts w:asciiTheme="majorHAnsi" w:hAnsiTheme="majorHAnsi" w:cstheme="majorHAnsi"/>
          <w:color w:val="000000" w:themeColor="text1"/>
        </w:rPr>
      </w:pPr>
      <w:r w:rsidRPr="00965FEB">
        <w:rPr>
          <w:rFonts w:asciiTheme="majorHAnsi" w:hAnsiTheme="majorHAnsi" w:cstheme="majorHAnsi"/>
          <w:color w:val="000000" w:themeColor="text1"/>
        </w:rPr>
        <w:t xml:space="preserve">1: </w:t>
      </w:r>
      <w:r w:rsidR="00B506C7">
        <w:rPr>
          <w:rFonts w:asciiTheme="majorHAnsi" w:hAnsiTheme="majorHAnsi" w:cstheme="majorHAnsi"/>
          <w:color w:val="000000" w:themeColor="text1"/>
        </w:rPr>
        <w:t>Servicing</w:t>
      </w:r>
      <w:r w:rsidRPr="00965FEB">
        <w:rPr>
          <w:rFonts w:asciiTheme="majorHAnsi" w:hAnsiTheme="majorHAnsi" w:cstheme="majorHAnsi"/>
          <w:color w:val="000000" w:themeColor="text1"/>
        </w:rPr>
        <w:t xml:space="preserve"> Participation</w:t>
      </w:r>
    </w:p>
    <w:p w14:paraId="707067F8" w14:textId="77777777" w:rsidR="007639DA" w:rsidRPr="00965FEB" w:rsidRDefault="00D46AF7" w:rsidP="00965FEB">
      <w:pPr>
        <w:numPr>
          <w:ilvl w:val="0"/>
          <w:numId w:val="1"/>
        </w:numPr>
        <w:rPr>
          <w:rFonts w:asciiTheme="majorHAnsi" w:hAnsiTheme="majorHAnsi" w:cstheme="majorHAnsi"/>
          <w:color w:val="000000" w:themeColor="text1"/>
        </w:rPr>
      </w:pPr>
      <w:r w:rsidRPr="00965FEB">
        <w:rPr>
          <w:rFonts w:asciiTheme="majorHAnsi" w:hAnsiTheme="majorHAnsi" w:cstheme="majorHAnsi"/>
          <w:color w:val="000000" w:themeColor="text1"/>
        </w:rPr>
        <w:t>2: Emerging Participation</w:t>
      </w:r>
    </w:p>
    <w:p w14:paraId="707067F9" w14:textId="77777777" w:rsidR="007639DA" w:rsidRPr="00965FEB" w:rsidRDefault="00D46AF7" w:rsidP="00965FEB">
      <w:pPr>
        <w:numPr>
          <w:ilvl w:val="0"/>
          <w:numId w:val="1"/>
        </w:numPr>
        <w:rPr>
          <w:rFonts w:asciiTheme="majorHAnsi" w:hAnsiTheme="majorHAnsi" w:cstheme="majorHAnsi"/>
          <w:color w:val="000000" w:themeColor="text1"/>
        </w:rPr>
      </w:pPr>
      <w:r w:rsidRPr="00965FEB">
        <w:rPr>
          <w:rFonts w:asciiTheme="majorHAnsi" w:hAnsiTheme="majorHAnsi" w:cstheme="majorHAnsi"/>
          <w:color w:val="000000" w:themeColor="text1"/>
        </w:rPr>
        <w:t>3: Growing Participation</w:t>
      </w:r>
    </w:p>
    <w:p w14:paraId="707067FA" w14:textId="77777777" w:rsidR="007639DA" w:rsidRPr="00965FEB" w:rsidRDefault="00D46AF7" w:rsidP="00965FEB">
      <w:pPr>
        <w:numPr>
          <w:ilvl w:val="0"/>
          <w:numId w:val="1"/>
        </w:numPr>
        <w:rPr>
          <w:rFonts w:asciiTheme="majorHAnsi" w:hAnsiTheme="majorHAnsi" w:cstheme="majorHAnsi"/>
          <w:color w:val="000000" w:themeColor="text1"/>
        </w:rPr>
      </w:pPr>
      <w:r w:rsidRPr="00965FEB">
        <w:rPr>
          <w:rFonts w:asciiTheme="majorHAnsi" w:hAnsiTheme="majorHAnsi" w:cstheme="majorHAnsi"/>
          <w:color w:val="000000" w:themeColor="text1"/>
        </w:rPr>
        <w:t>4: High Participation Local</w:t>
      </w:r>
    </w:p>
    <w:p w14:paraId="707067FF" w14:textId="084AC989" w:rsidR="007639DA" w:rsidRPr="00965FEB" w:rsidRDefault="007639DA" w:rsidP="00965FEB">
      <w:pPr>
        <w:rPr>
          <w:rFonts w:asciiTheme="majorHAnsi" w:hAnsiTheme="majorHAnsi" w:cstheme="majorHAnsi"/>
          <w:color w:val="000000" w:themeColor="text1"/>
        </w:rPr>
      </w:pPr>
      <w:bookmarkStart w:id="2" w:name="_hb2dkjhov2k6" w:colFirst="0" w:colLast="0"/>
      <w:bookmarkEnd w:id="2"/>
    </w:p>
    <w:tbl>
      <w:tblPr>
        <w:tblStyle w:val="a"/>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548FFB9C" w14:textId="77777777" w:rsidTr="00965FEB">
        <w:tc>
          <w:tcPr>
            <w:tcW w:w="10000" w:type="dxa"/>
            <w:gridSpan w:val="4"/>
            <w:shd w:val="clear" w:color="auto" w:fill="F2F2F2" w:themeFill="background1" w:themeFillShade="F2"/>
          </w:tcPr>
          <w:p w14:paraId="382252AE" w14:textId="1F489460"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t>1. School Site Leaders &amp; Contract Action Teams</w:t>
            </w:r>
            <w:r>
              <w:rPr>
                <w:rFonts w:asciiTheme="majorHAnsi" w:hAnsiTheme="majorHAnsi" w:cstheme="majorHAnsi"/>
                <w:color w:val="000000" w:themeColor="text1"/>
                <w:sz w:val="24"/>
                <w:szCs w:val="24"/>
              </w:rPr>
              <w:t xml:space="preserve"> </w:t>
            </w:r>
          </w:p>
          <w:p w14:paraId="36A434F2" w14:textId="17CAA2BF" w:rsidR="00965FEB" w:rsidRPr="00965FEB" w:rsidRDefault="00965FEB" w:rsidP="00965FEB">
            <w:pPr>
              <w:rPr>
                <w:rFonts w:asciiTheme="majorHAnsi" w:hAnsiTheme="majorHAnsi" w:cstheme="majorHAnsi"/>
                <w:b/>
                <w:bCs/>
                <w:color w:val="000000" w:themeColor="text1"/>
              </w:rPr>
            </w:pPr>
            <w:r w:rsidRPr="00965FEB">
              <w:rPr>
                <w:rFonts w:asciiTheme="majorHAnsi" w:hAnsiTheme="majorHAnsi" w:cstheme="majorHAnsi"/>
                <w:color w:val="000000" w:themeColor="text1"/>
              </w:rPr>
              <w:t>How empowered and organized are school site member leaders and teams?</w:t>
            </w:r>
          </w:p>
        </w:tc>
      </w:tr>
      <w:tr w:rsidR="007639DA" w:rsidRPr="00965FEB" w14:paraId="70706804" w14:textId="77777777">
        <w:tc>
          <w:tcPr>
            <w:tcW w:w="2500" w:type="dxa"/>
          </w:tcPr>
          <w:p w14:paraId="70706800" w14:textId="0B6045CE"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Site leaders primarily relay information; equity and member access are not considered.</w:t>
            </w:r>
          </w:p>
        </w:tc>
        <w:tc>
          <w:tcPr>
            <w:tcW w:w="2500" w:type="dxa"/>
          </w:tcPr>
          <w:p w14:paraId="70706801"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Site leaders occasionally assist with workplace concerns and begin recognizing participation gaps across underrepresented groups.</w:t>
            </w:r>
          </w:p>
        </w:tc>
        <w:tc>
          <w:tcPr>
            <w:tcW w:w="2500" w:type="dxa"/>
          </w:tcPr>
          <w:p w14:paraId="70706802"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Site leaders/CATs organize members, handle Level 1 grievances locally, build 10:1 communication networks, and intentionally recruit leaders from diverse job titles, classifications, and backgrounds.</w:t>
            </w:r>
          </w:p>
        </w:tc>
        <w:tc>
          <w:tcPr>
            <w:tcW w:w="2500" w:type="dxa"/>
          </w:tcPr>
          <w:p w14:paraId="70706803"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Site leaders confidently handle Level 1 concerns locally, manage active 1:10 CATs/Organizing Squads, and run building councils. Equity is embedded in leadership identification, ensuring rank-and-file teams reflect the full diversity of campus staff.</w:t>
            </w:r>
          </w:p>
        </w:tc>
      </w:tr>
      <w:tr w:rsidR="00965FEB" w:rsidRPr="00965FEB" w14:paraId="6766EA06" w14:textId="77777777">
        <w:tc>
          <w:tcPr>
            <w:tcW w:w="2500" w:type="dxa"/>
          </w:tcPr>
          <w:p w14:paraId="2DCAEC23" w14:textId="77777777" w:rsidR="00965FEB" w:rsidRPr="00965FEB" w:rsidRDefault="00965FEB" w:rsidP="00965FEB">
            <w:pPr>
              <w:rPr>
                <w:rFonts w:asciiTheme="majorHAnsi" w:hAnsiTheme="majorHAnsi" w:cstheme="majorHAnsi"/>
                <w:b/>
                <w:bCs/>
                <w:color w:val="000000" w:themeColor="text1"/>
              </w:rPr>
            </w:pPr>
          </w:p>
        </w:tc>
        <w:tc>
          <w:tcPr>
            <w:tcW w:w="2500" w:type="dxa"/>
          </w:tcPr>
          <w:p w14:paraId="5CD1D753" w14:textId="77777777" w:rsidR="00965FEB" w:rsidRPr="00965FEB" w:rsidRDefault="00965FEB" w:rsidP="00965FEB">
            <w:pPr>
              <w:rPr>
                <w:rFonts w:asciiTheme="majorHAnsi" w:hAnsiTheme="majorHAnsi" w:cstheme="majorHAnsi"/>
                <w:b/>
                <w:bCs/>
                <w:color w:val="000000" w:themeColor="text1"/>
              </w:rPr>
            </w:pPr>
          </w:p>
        </w:tc>
        <w:tc>
          <w:tcPr>
            <w:tcW w:w="2500" w:type="dxa"/>
          </w:tcPr>
          <w:p w14:paraId="793E7878" w14:textId="77777777" w:rsidR="00965FEB" w:rsidRPr="00965FEB" w:rsidRDefault="00965FEB" w:rsidP="00965FEB">
            <w:pPr>
              <w:rPr>
                <w:rFonts w:asciiTheme="majorHAnsi" w:hAnsiTheme="majorHAnsi" w:cstheme="majorHAnsi"/>
                <w:b/>
                <w:bCs/>
                <w:color w:val="000000" w:themeColor="text1"/>
              </w:rPr>
            </w:pPr>
          </w:p>
        </w:tc>
        <w:tc>
          <w:tcPr>
            <w:tcW w:w="2500" w:type="dxa"/>
          </w:tcPr>
          <w:p w14:paraId="6CA09451" w14:textId="77777777" w:rsidR="00965FEB" w:rsidRPr="00965FEB" w:rsidRDefault="00965FEB" w:rsidP="00965FEB">
            <w:pPr>
              <w:rPr>
                <w:rFonts w:asciiTheme="majorHAnsi" w:hAnsiTheme="majorHAnsi" w:cstheme="majorHAnsi"/>
                <w:b/>
                <w:bCs/>
                <w:color w:val="000000" w:themeColor="text1"/>
              </w:rPr>
            </w:pPr>
          </w:p>
        </w:tc>
      </w:tr>
    </w:tbl>
    <w:p w14:paraId="70706808" w14:textId="77777777" w:rsidR="007639DA" w:rsidRPr="00965FEB" w:rsidRDefault="007639DA" w:rsidP="00965FEB">
      <w:pPr>
        <w:rPr>
          <w:rFonts w:asciiTheme="majorHAnsi" w:hAnsiTheme="majorHAnsi" w:cstheme="majorHAnsi"/>
          <w:color w:val="000000" w:themeColor="text1"/>
        </w:rPr>
      </w:pPr>
      <w:bookmarkStart w:id="3" w:name="_uscxy9kp2wyc" w:colFirst="0" w:colLast="0"/>
      <w:bookmarkEnd w:id="3"/>
    </w:p>
    <w:tbl>
      <w:tblPr>
        <w:tblStyle w:val="a0"/>
        <w:tblW w:w="1015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9"/>
        <w:gridCol w:w="2539"/>
        <w:gridCol w:w="2539"/>
        <w:gridCol w:w="2542"/>
      </w:tblGrid>
      <w:tr w:rsidR="00965FEB" w:rsidRPr="00965FEB" w14:paraId="3F6AF931" w14:textId="77777777" w:rsidTr="00B506C7">
        <w:trPr>
          <w:trHeight w:val="581"/>
        </w:trPr>
        <w:tc>
          <w:tcPr>
            <w:tcW w:w="10159" w:type="dxa"/>
            <w:gridSpan w:val="4"/>
            <w:shd w:val="clear" w:color="auto" w:fill="F2F2F2" w:themeFill="background1" w:themeFillShade="F2"/>
          </w:tcPr>
          <w:p w14:paraId="5B289863" w14:textId="022CC87E" w:rsidR="00965FEB" w:rsidRPr="00965FEB" w:rsidRDefault="00965FEB" w:rsidP="00B506C7">
            <w:pPr>
              <w:pStyle w:val="Heading1"/>
              <w:shd w:val="clear" w:color="auto" w:fill="F2F2F2" w:themeFill="background1" w:themeFillShade="F2"/>
              <w:spacing w:before="0" w:after="0"/>
              <w:rPr>
                <w:rFonts w:asciiTheme="majorHAnsi" w:hAnsiTheme="majorHAnsi" w:cstheme="majorHAnsi"/>
                <w:b w:val="0"/>
                <w:bCs w:val="0"/>
                <w:color w:val="000000" w:themeColor="text1"/>
              </w:rPr>
            </w:pPr>
            <w:r w:rsidRPr="00965FEB">
              <w:rPr>
                <w:rFonts w:asciiTheme="majorHAnsi" w:hAnsiTheme="majorHAnsi" w:cstheme="majorHAnsi"/>
                <w:color w:val="000000" w:themeColor="text1"/>
                <w:sz w:val="24"/>
                <w:szCs w:val="24"/>
              </w:rPr>
              <w:t>2. The Union Staff Role</w:t>
            </w:r>
            <w:r w:rsidR="00B506C7">
              <w:rPr>
                <w:rFonts w:asciiTheme="majorHAnsi" w:hAnsiTheme="majorHAnsi" w:cstheme="majorHAnsi"/>
                <w:color w:val="000000" w:themeColor="text1"/>
                <w:sz w:val="24"/>
                <w:szCs w:val="24"/>
              </w:rPr>
              <w:t xml:space="preserve"> - </w:t>
            </w:r>
            <w:r w:rsidRPr="00B506C7">
              <w:rPr>
                <w:rFonts w:asciiTheme="majorHAnsi" w:hAnsiTheme="majorHAnsi" w:cstheme="majorHAnsi"/>
                <w:b w:val="0"/>
                <w:bCs w:val="0"/>
                <w:color w:val="000000" w:themeColor="text1"/>
                <w:sz w:val="24"/>
                <w:szCs w:val="24"/>
              </w:rPr>
              <w:t xml:space="preserve">Who owns the </w:t>
            </w:r>
            <w:proofErr w:type="gramStart"/>
            <w:r w:rsidRPr="00B506C7">
              <w:rPr>
                <w:rFonts w:asciiTheme="majorHAnsi" w:hAnsiTheme="majorHAnsi" w:cstheme="majorHAnsi"/>
                <w:b w:val="0"/>
                <w:bCs w:val="0"/>
                <w:color w:val="000000" w:themeColor="text1"/>
                <w:sz w:val="24"/>
                <w:szCs w:val="24"/>
              </w:rPr>
              <w:t>work—</w:t>
            </w:r>
            <w:proofErr w:type="gramEnd"/>
            <w:r w:rsidRPr="00B506C7">
              <w:rPr>
                <w:rFonts w:asciiTheme="majorHAnsi" w:hAnsiTheme="majorHAnsi" w:cstheme="majorHAnsi"/>
                <w:b w:val="0"/>
                <w:bCs w:val="0"/>
                <w:color w:val="000000" w:themeColor="text1"/>
                <w:sz w:val="24"/>
                <w:szCs w:val="24"/>
              </w:rPr>
              <w:t>the staff or the members?</w:t>
            </w:r>
          </w:p>
        </w:tc>
      </w:tr>
      <w:tr w:rsidR="007639DA" w:rsidRPr="00965FEB" w14:paraId="7070680D" w14:textId="77777777" w:rsidTr="00B506C7">
        <w:trPr>
          <w:trHeight w:val="2978"/>
        </w:trPr>
        <w:tc>
          <w:tcPr>
            <w:tcW w:w="2539" w:type="dxa"/>
          </w:tcPr>
          <w:p w14:paraId="70706809" w14:textId="6E6DA23D"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Staff act as primary problem-solvers, handling individual grievances, organizing, and communications. Servicing and equity considerations are absent.</w:t>
            </w:r>
          </w:p>
        </w:tc>
        <w:tc>
          <w:tcPr>
            <w:tcW w:w="2539" w:type="dxa"/>
          </w:tcPr>
          <w:p w14:paraId="7070680A"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Staff begin involving member leaders in union work; training occurs occasionally with growing awareness of representational equity gaps.</w:t>
            </w:r>
          </w:p>
        </w:tc>
        <w:tc>
          <w:tcPr>
            <w:tcW w:w="2539" w:type="dxa"/>
          </w:tcPr>
          <w:p w14:paraId="7070680B"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Staff regularly coach worksite leaders and support member-led campaigns, structurally separating individual representational servicing from field organizing.</w:t>
            </w:r>
          </w:p>
        </w:tc>
        <w:tc>
          <w:tcPr>
            <w:tcW w:w="2539" w:type="dxa"/>
          </w:tcPr>
          <w:p w14:paraId="7070680C"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Staff function primarily as strategic coaches, capacity builders, and organizers. Staff train members to resolve Level 1 issues, analyze data through an equity lens, and build sustainable, member-driven systems across all job classifications.</w:t>
            </w:r>
          </w:p>
        </w:tc>
      </w:tr>
      <w:tr w:rsidR="00965FEB" w:rsidRPr="00965FEB" w14:paraId="7E746A48" w14:textId="77777777" w:rsidTr="00B506C7">
        <w:trPr>
          <w:trHeight w:val="16"/>
        </w:trPr>
        <w:tc>
          <w:tcPr>
            <w:tcW w:w="2539" w:type="dxa"/>
          </w:tcPr>
          <w:p w14:paraId="50D566E2" w14:textId="77777777" w:rsidR="00965FEB" w:rsidRPr="00965FEB" w:rsidRDefault="00965FEB" w:rsidP="00965FEB">
            <w:pPr>
              <w:rPr>
                <w:rFonts w:asciiTheme="majorHAnsi" w:hAnsiTheme="majorHAnsi" w:cstheme="majorHAnsi"/>
                <w:b/>
                <w:bCs/>
                <w:color w:val="000000" w:themeColor="text1"/>
                <w:sz w:val="22"/>
                <w:szCs w:val="22"/>
              </w:rPr>
            </w:pPr>
          </w:p>
        </w:tc>
        <w:tc>
          <w:tcPr>
            <w:tcW w:w="2539" w:type="dxa"/>
          </w:tcPr>
          <w:p w14:paraId="25D8DAFF" w14:textId="77777777" w:rsidR="00965FEB" w:rsidRPr="00965FEB" w:rsidRDefault="00965FEB" w:rsidP="00965FEB">
            <w:pPr>
              <w:rPr>
                <w:rFonts w:asciiTheme="majorHAnsi" w:hAnsiTheme="majorHAnsi" w:cstheme="majorHAnsi"/>
                <w:b/>
                <w:bCs/>
                <w:color w:val="000000" w:themeColor="text1"/>
                <w:sz w:val="22"/>
                <w:szCs w:val="22"/>
              </w:rPr>
            </w:pPr>
          </w:p>
        </w:tc>
        <w:tc>
          <w:tcPr>
            <w:tcW w:w="2539" w:type="dxa"/>
          </w:tcPr>
          <w:p w14:paraId="0B563BE3" w14:textId="77777777" w:rsidR="00965FEB" w:rsidRPr="00965FEB" w:rsidRDefault="00965FEB" w:rsidP="00965FEB">
            <w:pPr>
              <w:rPr>
                <w:rFonts w:asciiTheme="majorHAnsi" w:hAnsiTheme="majorHAnsi" w:cstheme="majorHAnsi"/>
                <w:b/>
                <w:bCs/>
                <w:color w:val="000000" w:themeColor="text1"/>
                <w:sz w:val="22"/>
                <w:szCs w:val="22"/>
              </w:rPr>
            </w:pPr>
          </w:p>
        </w:tc>
        <w:tc>
          <w:tcPr>
            <w:tcW w:w="2539" w:type="dxa"/>
          </w:tcPr>
          <w:p w14:paraId="06441F60" w14:textId="77777777" w:rsidR="00965FEB" w:rsidRPr="00965FEB" w:rsidRDefault="00965FEB" w:rsidP="00965FEB">
            <w:pPr>
              <w:rPr>
                <w:rFonts w:asciiTheme="majorHAnsi" w:hAnsiTheme="majorHAnsi" w:cstheme="majorHAnsi"/>
                <w:b/>
                <w:bCs/>
                <w:color w:val="000000" w:themeColor="text1"/>
                <w:sz w:val="22"/>
                <w:szCs w:val="22"/>
              </w:rPr>
            </w:pPr>
          </w:p>
        </w:tc>
      </w:tr>
    </w:tbl>
    <w:p w14:paraId="70706810" w14:textId="77777777" w:rsidR="007639DA" w:rsidRPr="00965FEB" w:rsidRDefault="007639DA" w:rsidP="00965FEB">
      <w:pPr>
        <w:rPr>
          <w:rFonts w:asciiTheme="majorHAnsi" w:hAnsiTheme="majorHAnsi" w:cstheme="majorHAnsi"/>
          <w:color w:val="000000" w:themeColor="text1"/>
        </w:rPr>
      </w:pPr>
      <w:bookmarkStart w:id="4" w:name="_7hdhh2z9qe2n" w:colFirst="0" w:colLast="0"/>
      <w:bookmarkEnd w:id="4"/>
    </w:p>
    <w:p w14:paraId="70706811" w14:textId="77777777" w:rsidR="007639DA" w:rsidRPr="00965FEB" w:rsidRDefault="007639DA" w:rsidP="00965FEB">
      <w:pPr>
        <w:rPr>
          <w:rFonts w:asciiTheme="majorHAnsi" w:hAnsiTheme="majorHAnsi" w:cstheme="majorHAnsi"/>
          <w:color w:val="000000" w:themeColor="text1"/>
        </w:rPr>
      </w:pPr>
    </w:p>
    <w:tbl>
      <w:tblPr>
        <w:tblStyle w:val="a1"/>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614F3649" w14:textId="77777777" w:rsidTr="00965FEB">
        <w:tc>
          <w:tcPr>
            <w:tcW w:w="10000" w:type="dxa"/>
            <w:gridSpan w:val="4"/>
            <w:shd w:val="clear" w:color="auto" w:fill="F2F2F2" w:themeFill="background1" w:themeFillShade="F2"/>
          </w:tcPr>
          <w:p w14:paraId="5245388D"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t>3. Valley Work (Non-Bargaining Lulls)</w:t>
            </w:r>
          </w:p>
          <w:p w14:paraId="50AB93BA" w14:textId="2FD5038B"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 xml:space="preserve">How </w:t>
            </w:r>
            <w:proofErr w:type="gramStart"/>
            <w:r w:rsidRPr="00965FEB">
              <w:rPr>
                <w:rFonts w:asciiTheme="majorHAnsi" w:hAnsiTheme="majorHAnsi" w:cstheme="majorHAnsi"/>
                <w:color w:val="000000" w:themeColor="text1"/>
              </w:rPr>
              <w:t>does</w:t>
            </w:r>
            <w:proofErr w:type="gramEnd"/>
            <w:r w:rsidRPr="00965FEB">
              <w:rPr>
                <w:rFonts w:asciiTheme="majorHAnsi" w:hAnsiTheme="majorHAnsi" w:cstheme="majorHAnsi"/>
                <w:color w:val="000000" w:themeColor="text1"/>
              </w:rPr>
              <w:t xml:space="preserve"> the </w:t>
            </w:r>
            <w:proofErr w:type="gramStart"/>
            <w:r w:rsidRPr="00965FEB">
              <w:rPr>
                <w:rFonts w:asciiTheme="majorHAnsi" w:hAnsiTheme="majorHAnsi" w:cstheme="majorHAnsi"/>
                <w:color w:val="000000" w:themeColor="text1"/>
              </w:rPr>
              <w:t>local</w:t>
            </w:r>
            <w:proofErr w:type="gramEnd"/>
            <w:r w:rsidRPr="00965FEB">
              <w:rPr>
                <w:rFonts w:asciiTheme="majorHAnsi" w:hAnsiTheme="majorHAnsi" w:cstheme="majorHAnsi"/>
                <w:color w:val="000000" w:themeColor="text1"/>
              </w:rPr>
              <w:t xml:space="preserve"> stay active and build power during non-bargaining periods?</w:t>
            </w:r>
          </w:p>
        </w:tc>
      </w:tr>
      <w:tr w:rsidR="007639DA" w:rsidRPr="00965FEB" w14:paraId="70706816" w14:textId="77777777">
        <w:tc>
          <w:tcPr>
            <w:tcW w:w="2500" w:type="dxa"/>
          </w:tcPr>
          <w:p w14:paraId="70706812" w14:textId="28A0181A"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Union activity completely pauses between contracts; no ongoing workplace organizing or community connection exists.</w:t>
            </w:r>
          </w:p>
        </w:tc>
        <w:tc>
          <w:tcPr>
            <w:tcW w:w="2500" w:type="dxa"/>
          </w:tcPr>
          <w:p w14:paraId="70706813"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Local occasionally offers workshops or events during lulls, with initial attempts to engage broader member groups.</w:t>
            </w:r>
          </w:p>
        </w:tc>
        <w:tc>
          <w:tcPr>
            <w:tcW w:w="2500" w:type="dxa"/>
          </w:tcPr>
          <w:p w14:paraId="70706814"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Local </w:t>
            </w:r>
            <w:proofErr w:type="gramStart"/>
            <w:r w:rsidRPr="00965FEB">
              <w:rPr>
                <w:rFonts w:asciiTheme="majorHAnsi" w:hAnsiTheme="majorHAnsi" w:cstheme="majorHAnsi"/>
                <w:color w:val="000000" w:themeColor="text1"/>
                <w:sz w:val="22"/>
                <w:szCs w:val="22"/>
              </w:rPr>
              <w:t>organizes</w:t>
            </w:r>
            <w:proofErr w:type="gramEnd"/>
            <w:r w:rsidRPr="00965FEB">
              <w:rPr>
                <w:rFonts w:asciiTheme="majorHAnsi" w:hAnsiTheme="majorHAnsi" w:cstheme="majorHAnsi"/>
                <w:color w:val="000000" w:themeColor="text1"/>
                <w:sz w:val="22"/>
                <w:szCs w:val="22"/>
              </w:rPr>
              <w:t xml:space="preserve"> around local site fights, contract enforcement, and continuous skill-building workshops during lulls while building relationships with community partners.</w:t>
            </w:r>
          </w:p>
        </w:tc>
        <w:tc>
          <w:tcPr>
            <w:tcW w:w="2500" w:type="dxa"/>
          </w:tcPr>
          <w:p w14:paraId="70706815"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Off-contract lulls are intentionally leveraged for site-level enforcement, needs assessments, continuous mobile training, and permanent, non-transactional community-labor alliances (e.g., racial, social, and economic justice partnerships).</w:t>
            </w:r>
          </w:p>
        </w:tc>
      </w:tr>
      <w:tr w:rsidR="00965FEB" w:rsidRPr="00965FEB" w14:paraId="11310594" w14:textId="77777777">
        <w:tc>
          <w:tcPr>
            <w:tcW w:w="2500" w:type="dxa"/>
          </w:tcPr>
          <w:p w14:paraId="60D5576C" w14:textId="77777777" w:rsidR="00965FEB" w:rsidRPr="00965FEB" w:rsidRDefault="00965FEB" w:rsidP="00965FEB">
            <w:pPr>
              <w:rPr>
                <w:rFonts w:asciiTheme="majorHAnsi" w:hAnsiTheme="majorHAnsi" w:cstheme="majorHAnsi"/>
                <w:b/>
                <w:bCs/>
                <w:color w:val="000000" w:themeColor="text1"/>
              </w:rPr>
            </w:pPr>
          </w:p>
        </w:tc>
        <w:tc>
          <w:tcPr>
            <w:tcW w:w="2500" w:type="dxa"/>
          </w:tcPr>
          <w:p w14:paraId="7387AF03" w14:textId="77777777" w:rsidR="00965FEB" w:rsidRPr="00965FEB" w:rsidRDefault="00965FEB" w:rsidP="00965FEB">
            <w:pPr>
              <w:rPr>
                <w:rFonts w:asciiTheme="majorHAnsi" w:hAnsiTheme="majorHAnsi" w:cstheme="majorHAnsi"/>
                <w:b/>
                <w:bCs/>
                <w:color w:val="000000" w:themeColor="text1"/>
              </w:rPr>
            </w:pPr>
          </w:p>
        </w:tc>
        <w:tc>
          <w:tcPr>
            <w:tcW w:w="2500" w:type="dxa"/>
          </w:tcPr>
          <w:p w14:paraId="3751EBB2" w14:textId="77777777" w:rsidR="00965FEB" w:rsidRPr="00965FEB" w:rsidRDefault="00965FEB" w:rsidP="00965FEB">
            <w:pPr>
              <w:rPr>
                <w:rFonts w:asciiTheme="majorHAnsi" w:hAnsiTheme="majorHAnsi" w:cstheme="majorHAnsi"/>
                <w:b/>
                <w:bCs/>
                <w:color w:val="000000" w:themeColor="text1"/>
              </w:rPr>
            </w:pPr>
          </w:p>
        </w:tc>
        <w:tc>
          <w:tcPr>
            <w:tcW w:w="2500" w:type="dxa"/>
          </w:tcPr>
          <w:p w14:paraId="5CCBCAD4" w14:textId="77777777" w:rsidR="00965FEB" w:rsidRPr="00965FEB" w:rsidRDefault="00965FEB" w:rsidP="00965FEB">
            <w:pPr>
              <w:rPr>
                <w:rFonts w:asciiTheme="majorHAnsi" w:hAnsiTheme="majorHAnsi" w:cstheme="majorHAnsi"/>
                <w:b/>
                <w:bCs/>
                <w:color w:val="000000" w:themeColor="text1"/>
              </w:rPr>
            </w:pPr>
          </w:p>
        </w:tc>
      </w:tr>
    </w:tbl>
    <w:p w14:paraId="70706819" w14:textId="77777777" w:rsidR="007639DA" w:rsidRPr="00965FEB" w:rsidRDefault="007639DA" w:rsidP="00965FEB">
      <w:pPr>
        <w:rPr>
          <w:rFonts w:asciiTheme="majorHAnsi" w:hAnsiTheme="majorHAnsi" w:cstheme="majorHAnsi"/>
          <w:color w:val="000000" w:themeColor="text1"/>
        </w:rPr>
      </w:pPr>
      <w:bookmarkStart w:id="5" w:name="_k4yxvdh1carf" w:colFirst="0" w:colLast="0"/>
      <w:bookmarkEnd w:id="5"/>
    </w:p>
    <w:p w14:paraId="7070681A" w14:textId="77777777" w:rsidR="007639DA" w:rsidRPr="00965FEB" w:rsidRDefault="007639DA" w:rsidP="00965FEB">
      <w:pPr>
        <w:rPr>
          <w:rFonts w:asciiTheme="majorHAnsi" w:hAnsiTheme="majorHAnsi" w:cstheme="majorHAnsi"/>
          <w:color w:val="000000" w:themeColor="text1"/>
        </w:rPr>
      </w:pPr>
    </w:p>
    <w:tbl>
      <w:tblPr>
        <w:tblStyle w:val="a2"/>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6F4E198F" w14:textId="77777777" w:rsidTr="00965FEB">
        <w:tc>
          <w:tcPr>
            <w:tcW w:w="10000" w:type="dxa"/>
            <w:gridSpan w:val="4"/>
            <w:shd w:val="clear" w:color="auto" w:fill="F2F2F2" w:themeFill="background1" w:themeFillShade="F2"/>
          </w:tcPr>
          <w:p w14:paraId="359144FF"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t>4. Collective Bargaining in High-Participation Locals</w:t>
            </w:r>
          </w:p>
          <w:p w14:paraId="6694A36A" w14:textId="49AA6BA4"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How is collective bargaining structured and executed?</w:t>
            </w:r>
          </w:p>
        </w:tc>
      </w:tr>
      <w:tr w:rsidR="007639DA" w:rsidRPr="00965FEB" w14:paraId="7070681F" w14:textId="77777777">
        <w:tc>
          <w:tcPr>
            <w:tcW w:w="2500" w:type="dxa"/>
          </w:tcPr>
          <w:p w14:paraId="7070681B" w14:textId="3EAD61A3"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Bargaining is closed-door, secret, and handled by third parties or small isolated committees with strict ground rules.</w:t>
            </w:r>
          </w:p>
        </w:tc>
        <w:tc>
          <w:tcPr>
            <w:tcW w:w="2500" w:type="dxa"/>
          </w:tcPr>
          <w:p w14:paraId="7070681C"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Local shares occasional bargaining updates and </w:t>
            </w:r>
            <w:proofErr w:type="gramStart"/>
            <w:r w:rsidRPr="00965FEB">
              <w:rPr>
                <w:rFonts w:asciiTheme="majorHAnsi" w:hAnsiTheme="majorHAnsi" w:cstheme="majorHAnsi"/>
                <w:color w:val="000000" w:themeColor="text1"/>
                <w:sz w:val="22"/>
                <w:szCs w:val="22"/>
              </w:rPr>
              <w:t>surveys</w:t>
            </w:r>
            <w:proofErr w:type="gramEnd"/>
            <w:r w:rsidRPr="00965FEB">
              <w:rPr>
                <w:rFonts w:asciiTheme="majorHAnsi" w:hAnsiTheme="majorHAnsi" w:cstheme="majorHAnsi"/>
                <w:color w:val="000000" w:themeColor="text1"/>
                <w:sz w:val="22"/>
                <w:szCs w:val="22"/>
              </w:rPr>
              <w:t xml:space="preserve"> members on contract priorities.</w:t>
            </w:r>
          </w:p>
        </w:tc>
        <w:tc>
          <w:tcPr>
            <w:tcW w:w="2500" w:type="dxa"/>
          </w:tcPr>
          <w:p w14:paraId="7070681D"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Local expands bargaining teams, uses plain-language proposals, and conducts site-level briefings to build member awareness.</w:t>
            </w:r>
          </w:p>
        </w:tc>
        <w:tc>
          <w:tcPr>
            <w:tcW w:w="2500" w:type="dxa"/>
          </w:tcPr>
          <w:p w14:paraId="7070681E"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Bargaining is treated as an active organizing campaign with open, massive, representative bargaining teams (reflecting all job classifications</w:t>
            </w:r>
            <w:proofErr w:type="gramStart"/>
            <w:r w:rsidRPr="00965FEB">
              <w:rPr>
                <w:rFonts w:asciiTheme="majorHAnsi" w:hAnsiTheme="majorHAnsi" w:cstheme="majorHAnsi"/>
                <w:color w:val="000000" w:themeColor="text1"/>
                <w:sz w:val="22"/>
                <w:szCs w:val="22"/>
              </w:rPr>
              <w:t>/backgrounds</w:t>
            </w:r>
            <w:proofErr w:type="gramEnd"/>
            <w:r w:rsidRPr="00965FEB">
              <w:rPr>
                <w:rFonts w:asciiTheme="majorHAnsi" w:hAnsiTheme="majorHAnsi" w:cstheme="majorHAnsi"/>
                <w:color w:val="000000" w:themeColor="text1"/>
                <w:sz w:val="22"/>
                <w:szCs w:val="22"/>
              </w:rPr>
              <w:t>), radical transparency, and community-centered "common good" demands.</w:t>
            </w:r>
          </w:p>
        </w:tc>
      </w:tr>
      <w:tr w:rsidR="00965FEB" w:rsidRPr="00965FEB" w14:paraId="71F68D8C" w14:textId="77777777">
        <w:tc>
          <w:tcPr>
            <w:tcW w:w="2500" w:type="dxa"/>
          </w:tcPr>
          <w:p w14:paraId="7286B354" w14:textId="77777777" w:rsidR="00965FEB" w:rsidRPr="00965FEB" w:rsidRDefault="00965FEB" w:rsidP="00965FEB">
            <w:pPr>
              <w:rPr>
                <w:rFonts w:asciiTheme="majorHAnsi" w:hAnsiTheme="majorHAnsi" w:cstheme="majorHAnsi"/>
                <w:b/>
                <w:bCs/>
                <w:color w:val="000000" w:themeColor="text1"/>
              </w:rPr>
            </w:pPr>
          </w:p>
        </w:tc>
        <w:tc>
          <w:tcPr>
            <w:tcW w:w="2500" w:type="dxa"/>
          </w:tcPr>
          <w:p w14:paraId="349AA4E9" w14:textId="77777777" w:rsidR="00965FEB" w:rsidRPr="00965FEB" w:rsidRDefault="00965FEB" w:rsidP="00965FEB">
            <w:pPr>
              <w:rPr>
                <w:rFonts w:asciiTheme="majorHAnsi" w:hAnsiTheme="majorHAnsi" w:cstheme="majorHAnsi"/>
                <w:b/>
                <w:bCs/>
                <w:color w:val="000000" w:themeColor="text1"/>
              </w:rPr>
            </w:pPr>
          </w:p>
        </w:tc>
        <w:tc>
          <w:tcPr>
            <w:tcW w:w="2500" w:type="dxa"/>
          </w:tcPr>
          <w:p w14:paraId="2BB5612D" w14:textId="77777777" w:rsidR="00965FEB" w:rsidRPr="00965FEB" w:rsidRDefault="00965FEB" w:rsidP="00965FEB">
            <w:pPr>
              <w:rPr>
                <w:rFonts w:asciiTheme="majorHAnsi" w:hAnsiTheme="majorHAnsi" w:cstheme="majorHAnsi"/>
                <w:b/>
                <w:bCs/>
                <w:color w:val="000000" w:themeColor="text1"/>
              </w:rPr>
            </w:pPr>
          </w:p>
        </w:tc>
        <w:tc>
          <w:tcPr>
            <w:tcW w:w="2500" w:type="dxa"/>
          </w:tcPr>
          <w:p w14:paraId="685DCFB7" w14:textId="77777777" w:rsidR="00965FEB" w:rsidRPr="00965FEB" w:rsidRDefault="00965FEB" w:rsidP="00965FEB">
            <w:pPr>
              <w:rPr>
                <w:rFonts w:asciiTheme="majorHAnsi" w:hAnsiTheme="majorHAnsi" w:cstheme="majorHAnsi"/>
                <w:b/>
                <w:bCs/>
                <w:color w:val="000000" w:themeColor="text1"/>
              </w:rPr>
            </w:pPr>
          </w:p>
        </w:tc>
      </w:tr>
    </w:tbl>
    <w:p w14:paraId="70706822" w14:textId="77777777" w:rsidR="007639DA" w:rsidRPr="00965FEB" w:rsidRDefault="007639DA" w:rsidP="00965FEB">
      <w:pPr>
        <w:rPr>
          <w:rFonts w:asciiTheme="majorHAnsi" w:hAnsiTheme="majorHAnsi" w:cstheme="majorHAnsi"/>
          <w:color w:val="000000" w:themeColor="text1"/>
        </w:rPr>
      </w:pPr>
      <w:bookmarkStart w:id="6" w:name="_15l22dufuh68" w:colFirst="0" w:colLast="0"/>
      <w:bookmarkEnd w:id="6"/>
    </w:p>
    <w:p w14:paraId="70706823" w14:textId="77777777" w:rsidR="007639DA" w:rsidRPr="00965FEB" w:rsidRDefault="007639DA" w:rsidP="00965FEB">
      <w:pPr>
        <w:rPr>
          <w:rFonts w:asciiTheme="majorHAnsi" w:hAnsiTheme="majorHAnsi" w:cstheme="majorHAnsi"/>
          <w:color w:val="000000" w:themeColor="text1"/>
        </w:rPr>
      </w:pPr>
    </w:p>
    <w:tbl>
      <w:tblPr>
        <w:tblStyle w:val="a3"/>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7D6B39BD" w14:textId="77777777" w:rsidTr="00B506C7">
        <w:tc>
          <w:tcPr>
            <w:tcW w:w="10000" w:type="dxa"/>
            <w:gridSpan w:val="4"/>
            <w:shd w:val="clear" w:color="auto" w:fill="F2F2F2" w:themeFill="background1" w:themeFillShade="F2"/>
          </w:tcPr>
          <w:p w14:paraId="12F0B28F"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lastRenderedPageBreak/>
              <w:t>5. Being a President of a High-Participation Local</w:t>
            </w:r>
          </w:p>
          <w:p w14:paraId="6133059D" w14:textId="580D6E89"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president lead and distribute organizational power?</w:t>
            </w:r>
          </w:p>
        </w:tc>
      </w:tr>
      <w:tr w:rsidR="007639DA" w:rsidRPr="00965FEB" w14:paraId="70706828" w14:textId="77777777">
        <w:tc>
          <w:tcPr>
            <w:tcW w:w="2500" w:type="dxa"/>
          </w:tcPr>
          <w:p w14:paraId="70706824" w14:textId="68EF9FD9"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President acts as an administrative crisis manager, top-down decision-maker, and primary grievance handler.</w:t>
            </w:r>
          </w:p>
        </w:tc>
        <w:tc>
          <w:tcPr>
            <w:tcW w:w="2500" w:type="dxa"/>
          </w:tcPr>
          <w:p w14:paraId="70706825"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President encourages participation but retains primary operational and political responsibilities.</w:t>
            </w:r>
          </w:p>
        </w:tc>
        <w:tc>
          <w:tcPr>
            <w:tcW w:w="2500" w:type="dxa"/>
          </w:tcPr>
          <w:p w14:paraId="70706826"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President guards the strategic plan, coordinates leadership teams, and reallocates resources toward organizing and member capacity.</w:t>
            </w:r>
          </w:p>
        </w:tc>
        <w:tc>
          <w:tcPr>
            <w:tcW w:w="2500" w:type="dxa"/>
          </w:tcPr>
          <w:p w14:paraId="70706827"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President focuses on strategic coordination, political diplomacy, geographic turf organizing, and budget reallocation. They actively delegate power, guard the strategic plan ("if it's not on the plan, it's not happening"), and foster a "choir model" of shared leadership pacing to prevent burnout.</w:t>
            </w:r>
          </w:p>
        </w:tc>
      </w:tr>
      <w:tr w:rsidR="00965FEB" w:rsidRPr="00965FEB" w14:paraId="15A41A36" w14:textId="77777777">
        <w:tc>
          <w:tcPr>
            <w:tcW w:w="2500" w:type="dxa"/>
          </w:tcPr>
          <w:p w14:paraId="426AD647" w14:textId="77777777" w:rsidR="00965FEB" w:rsidRPr="00965FEB" w:rsidRDefault="00965FEB" w:rsidP="00965FEB">
            <w:pPr>
              <w:rPr>
                <w:rFonts w:asciiTheme="majorHAnsi" w:hAnsiTheme="majorHAnsi" w:cstheme="majorHAnsi"/>
                <w:b/>
                <w:bCs/>
                <w:color w:val="000000" w:themeColor="text1"/>
              </w:rPr>
            </w:pPr>
          </w:p>
        </w:tc>
        <w:tc>
          <w:tcPr>
            <w:tcW w:w="2500" w:type="dxa"/>
          </w:tcPr>
          <w:p w14:paraId="17AB375D" w14:textId="77777777" w:rsidR="00965FEB" w:rsidRPr="00965FEB" w:rsidRDefault="00965FEB" w:rsidP="00965FEB">
            <w:pPr>
              <w:rPr>
                <w:rFonts w:asciiTheme="majorHAnsi" w:hAnsiTheme="majorHAnsi" w:cstheme="majorHAnsi"/>
                <w:b/>
                <w:bCs/>
                <w:color w:val="000000" w:themeColor="text1"/>
              </w:rPr>
            </w:pPr>
          </w:p>
        </w:tc>
        <w:tc>
          <w:tcPr>
            <w:tcW w:w="2500" w:type="dxa"/>
          </w:tcPr>
          <w:p w14:paraId="1E77AEE6" w14:textId="77777777" w:rsidR="00965FEB" w:rsidRPr="00965FEB" w:rsidRDefault="00965FEB" w:rsidP="00965FEB">
            <w:pPr>
              <w:rPr>
                <w:rFonts w:asciiTheme="majorHAnsi" w:hAnsiTheme="majorHAnsi" w:cstheme="majorHAnsi"/>
                <w:b/>
                <w:bCs/>
                <w:color w:val="000000" w:themeColor="text1"/>
              </w:rPr>
            </w:pPr>
          </w:p>
        </w:tc>
        <w:tc>
          <w:tcPr>
            <w:tcW w:w="2500" w:type="dxa"/>
          </w:tcPr>
          <w:p w14:paraId="707D654C" w14:textId="77777777" w:rsidR="00965FEB" w:rsidRPr="00965FEB" w:rsidRDefault="00965FEB" w:rsidP="00965FEB">
            <w:pPr>
              <w:rPr>
                <w:rFonts w:asciiTheme="majorHAnsi" w:hAnsiTheme="majorHAnsi" w:cstheme="majorHAnsi"/>
                <w:b/>
                <w:bCs/>
                <w:color w:val="000000" w:themeColor="text1"/>
              </w:rPr>
            </w:pPr>
          </w:p>
        </w:tc>
      </w:tr>
    </w:tbl>
    <w:p w14:paraId="7070682B" w14:textId="77777777" w:rsidR="007639DA" w:rsidRDefault="007639DA" w:rsidP="00965FEB">
      <w:pPr>
        <w:rPr>
          <w:rFonts w:asciiTheme="majorHAnsi" w:hAnsiTheme="majorHAnsi" w:cstheme="majorHAnsi"/>
          <w:color w:val="000000" w:themeColor="text1"/>
        </w:rPr>
      </w:pPr>
      <w:bookmarkStart w:id="7" w:name="_yvot9bkswi3q" w:colFirst="0" w:colLast="0"/>
      <w:bookmarkEnd w:id="7"/>
    </w:p>
    <w:tbl>
      <w:tblPr>
        <w:tblStyle w:val="a4"/>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2AB66644" w14:textId="77777777" w:rsidTr="00965FEB">
        <w:tc>
          <w:tcPr>
            <w:tcW w:w="10000" w:type="dxa"/>
            <w:gridSpan w:val="4"/>
            <w:shd w:val="clear" w:color="auto" w:fill="F2F2F2" w:themeFill="background1" w:themeFillShade="F2"/>
          </w:tcPr>
          <w:p w14:paraId="3F7C0CEB"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t>6. How High-Participation Locals Use Data to Build Power</w:t>
            </w:r>
          </w:p>
          <w:p w14:paraId="0D4BA99B" w14:textId="6FDDAE19"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How are data systems utilized across the local?</w:t>
            </w:r>
          </w:p>
        </w:tc>
      </w:tr>
      <w:tr w:rsidR="007639DA" w:rsidRPr="00965FEB" w14:paraId="70706831" w14:textId="77777777">
        <w:tc>
          <w:tcPr>
            <w:tcW w:w="2500" w:type="dxa"/>
          </w:tcPr>
          <w:p w14:paraId="7070682D" w14:textId="16C7D46A"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Data management is purely administrative and passive (dues tracking, static lists).</w:t>
            </w:r>
          </w:p>
        </w:tc>
        <w:tc>
          <w:tcPr>
            <w:tcW w:w="2500" w:type="dxa"/>
          </w:tcPr>
          <w:p w14:paraId="7070682E"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Data is occasionally reviewed after campaigns to evaluate turnout.</w:t>
            </w:r>
          </w:p>
        </w:tc>
        <w:tc>
          <w:tcPr>
            <w:tcW w:w="2500" w:type="dxa"/>
          </w:tcPr>
          <w:p w14:paraId="7070682F"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Data informs organizing decisions; site leaders begin tracking meeting attendance and petition signers.</w:t>
            </w:r>
          </w:p>
        </w:tc>
        <w:tc>
          <w:tcPr>
            <w:tcW w:w="2500" w:type="dxa"/>
          </w:tcPr>
          <w:p w14:paraId="70706830"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Data management is decentralized and active. Leaders analyze digital wall-charts (Action Builder/</w:t>
            </w:r>
            <w:proofErr w:type="spellStart"/>
            <w:r w:rsidRPr="00965FEB">
              <w:rPr>
                <w:rFonts w:asciiTheme="majorHAnsi" w:hAnsiTheme="majorHAnsi" w:cstheme="majorHAnsi"/>
                <w:color w:val="000000" w:themeColor="text1"/>
                <w:sz w:val="22"/>
                <w:szCs w:val="22"/>
              </w:rPr>
              <w:t>OrgDB</w:t>
            </w:r>
            <w:proofErr w:type="spellEnd"/>
            <w:r w:rsidRPr="00965FEB">
              <w:rPr>
                <w:rFonts w:asciiTheme="majorHAnsi" w:hAnsiTheme="majorHAnsi" w:cstheme="majorHAnsi"/>
                <w:color w:val="000000" w:themeColor="text1"/>
                <w:sz w:val="22"/>
                <w:szCs w:val="22"/>
              </w:rPr>
              <w:t>) and run quantitative structure tests (e.g., physical paper petitions) as "gates" to evaluate supermajority campaign readiness and address engagement gaps across diverse subgroups.</w:t>
            </w:r>
          </w:p>
        </w:tc>
      </w:tr>
      <w:tr w:rsidR="00965FEB" w:rsidRPr="00965FEB" w14:paraId="0D43F19A" w14:textId="77777777">
        <w:tc>
          <w:tcPr>
            <w:tcW w:w="2500" w:type="dxa"/>
          </w:tcPr>
          <w:p w14:paraId="3EB63E7C" w14:textId="77777777" w:rsidR="00965FEB" w:rsidRPr="00965FEB" w:rsidRDefault="00965FEB" w:rsidP="00965FEB">
            <w:pPr>
              <w:rPr>
                <w:rFonts w:asciiTheme="majorHAnsi" w:hAnsiTheme="majorHAnsi" w:cstheme="majorHAnsi"/>
                <w:b/>
                <w:bCs/>
                <w:color w:val="000000" w:themeColor="text1"/>
              </w:rPr>
            </w:pPr>
          </w:p>
        </w:tc>
        <w:tc>
          <w:tcPr>
            <w:tcW w:w="2500" w:type="dxa"/>
          </w:tcPr>
          <w:p w14:paraId="7087E54C" w14:textId="77777777" w:rsidR="00965FEB" w:rsidRPr="00965FEB" w:rsidRDefault="00965FEB" w:rsidP="00965FEB">
            <w:pPr>
              <w:rPr>
                <w:rFonts w:asciiTheme="majorHAnsi" w:hAnsiTheme="majorHAnsi" w:cstheme="majorHAnsi"/>
                <w:b/>
                <w:bCs/>
                <w:color w:val="000000" w:themeColor="text1"/>
              </w:rPr>
            </w:pPr>
          </w:p>
        </w:tc>
        <w:tc>
          <w:tcPr>
            <w:tcW w:w="2500" w:type="dxa"/>
          </w:tcPr>
          <w:p w14:paraId="2874950A" w14:textId="77777777" w:rsidR="00965FEB" w:rsidRPr="00965FEB" w:rsidRDefault="00965FEB" w:rsidP="00965FEB">
            <w:pPr>
              <w:rPr>
                <w:rFonts w:asciiTheme="majorHAnsi" w:hAnsiTheme="majorHAnsi" w:cstheme="majorHAnsi"/>
                <w:b/>
                <w:bCs/>
                <w:color w:val="000000" w:themeColor="text1"/>
              </w:rPr>
            </w:pPr>
          </w:p>
        </w:tc>
        <w:tc>
          <w:tcPr>
            <w:tcW w:w="2500" w:type="dxa"/>
          </w:tcPr>
          <w:p w14:paraId="1B866100" w14:textId="77777777" w:rsidR="00965FEB" w:rsidRPr="00965FEB" w:rsidRDefault="00965FEB" w:rsidP="00965FEB">
            <w:pPr>
              <w:rPr>
                <w:rFonts w:asciiTheme="majorHAnsi" w:hAnsiTheme="majorHAnsi" w:cstheme="majorHAnsi"/>
                <w:b/>
                <w:bCs/>
                <w:color w:val="000000" w:themeColor="text1"/>
              </w:rPr>
            </w:pPr>
          </w:p>
        </w:tc>
      </w:tr>
    </w:tbl>
    <w:p w14:paraId="70706834" w14:textId="77777777" w:rsidR="007639DA" w:rsidRPr="00965FEB" w:rsidRDefault="007639DA" w:rsidP="00965FEB">
      <w:pPr>
        <w:rPr>
          <w:rFonts w:asciiTheme="majorHAnsi" w:hAnsiTheme="majorHAnsi" w:cstheme="majorHAnsi"/>
          <w:color w:val="000000" w:themeColor="text1"/>
        </w:rPr>
      </w:pPr>
      <w:bookmarkStart w:id="8" w:name="_gfttzghnmbwa" w:colFirst="0" w:colLast="0"/>
      <w:bookmarkEnd w:id="8"/>
    </w:p>
    <w:p w14:paraId="70706835" w14:textId="77777777" w:rsidR="007639DA" w:rsidRPr="00965FEB" w:rsidRDefault="007639DA" w:rsidP="00965FEB">
      <w:pPr>
        <w:rPr>
          <w:rFonts w:asciiTheme="majorHAnsi" w:hAnsiTheme="majorHAnsi" w:cstheme="majorHAnsi"/>
          <w:color w:val="000000" w:themeColor="text1"/>
        </w:rPr>
      </w:pPr>
    </w:p>
    <w:tbl>
      <w:tblPr>
        <w:tblStyle w:val="a5"/>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465467A8" w14:textId="77777777" w:rsidTr="00965FEB">
        <w:tc>
          <w:tcPr>
            <w:tcW w:w="10000" w:type="dxa"/>
            <w:gridSpan w:val="4"/>
            <w:shd w:val="clear" w:color="auto" w:fill="F2F2F2" w:themeFill="background1" w:themeFillShade="F2"/>
          </w:tcPr>
          <w:p w14:paraId="41C1DFF1"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lastRenderedPageBreak/>
              <w:t>7. How High-Participation Locals Train Their Members</w:t>
            </w:r>
          </w:p>
          <w:p w14:paraId="5969AE66" w14:textId="5CD539D2"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 xml:space="preserve">How does the local build rank-and-file </w:t>
            </w:r>
            <w:proofErr w:type="gramStart"/>
            <w:r w:rsidRPr="00965FEB">
              <w:rPr>
                <w:rFonts w:asciiTheme="majorHAnsi" w:hAnsiTheme="majorHAnsi" w:cstheme="majorHAnsi"/>
                <w:color w:val="000000" w:themeColor="text1"/>
              </w:rPr>
              <w:t>organizing</w:t>
            </w:r>
            <w:proofErr w:type="gramEnd"/>
            <w:r w:rsidRPr="00965FEB">
              <w:rPr>
                <w:rFonts w:asciiTheme="majorHAnsi" w:hAnsiTheme="majorHAnsi" w:cstheme="majorHAnsi"/>
                <w:color w:val="000000" w:themeColor="text1"/>
              </w:rPr>
              <w:t xml:space="preserve"> capacity?</w:t>
            </w:r>
          </w:p>
        </w:tc>
      </w:tr>
      <w:tr w:rsidR="007639DA" w:rsidRPr="00965FEB" w14:paraId="7070683A" w14:textId="77777777">
        <w:tc>
          <w:tcPr>
            <w:tcW w:w="2500" w:type="dxa"/>
          </w:tcPr>
          <w:p w14:paraId="70706836" w14:textId="2894A1B0"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Training is non-existent, top-down, or limited to reading static policy documents.</w:t>
            </w:r>
          </w:p>
        </w:tc>
        <w:tc>
          <w:tcPr>
            <w:tcW w:w="2500" w:type="dxa"/>
          </w:tcPr>
          <w:p w14:paraId="70706837"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Occasional ad-hoc </w:t>
            </w:r>
            <w:proofErr w:type="gramStart"/>
            <w:r w:rsidRPr="00965FEB">
              <w:rPr>
                <w:rFonts w:asciiTheme="majorHAnsi" w:hAnsiTheme="majorHAnsi" w:cstheme="majorHAnsi"/>
                <w:color w:val="000000" w:themeColor="text1"/>
                <w:sz w:val="22"/>
                <w:szCs w:val="22"/>
              </w:rPr>
              <w:t>trainings</w:t>
            </w:r>
            <w:proofErr w:type="gramEnd"/>
            <w:r w:rsidRPr="00965FEB">
              <w:rPr>
                <w:rFonts w:asciiTheme="majorHAnsi" w:hAnsiTheme="majorHAnsi" w:cstheme="majorHAnsi"/>
                <w:color w:val="000000" w:themeColor="text1"/>
                <w:sz w:val="22"/>
                <w:szCs w:val="22"/>
              </w:rPr>
              <w:t xml:space="preserve"> are offered for newly elected building reps.</w:t>
            </w:r>
          </w:p>
        </w:tc>
        <w:tc>
          <w:tcPr>
            <w:tcW w:w="2500" w:type="dxa"/>
          </w:tcPr>
          <w:p w14:paraId="70706838"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Local offers structured skill workshops (e.g., 1:1 conversations, charting) and reduces barriers through accessible meeting times.</w:t>
            </w:r>
          </w:p>
        </w:tc>
        <w:tc>
          <w:tcPr>
            <w:tcW w:w="2500" w:type="dxa"/>
          </w:tcPr>
          <w:p w14:paraId="70706839"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Local operates active, multi-tiered training pipelines (e.g., Summer Institutes, Member Organizer cohorts, "Skills to Win") using a "gradual release" model (from staff modeling to autonomous member execution) with mobile, on-site, and rotational workshops.</w:t>
            </w:r>
          </w:p>
        </w:tc>
      </w:tr>
      <w:tr w:rsidR="00965FEB" w:rsidRPr="00965FEB" w14:paraId="1319FE95" w14:textId="77777777">
        <w:tc>
          <w:tcPr>
            <w:tcW w:w="2500" w:type="dxa"/>
          </w:tcPr>
          <w:p w14:paraId="398526C8" w14:textId="77777777" w:rsidR="00965FEB" w:rsidRPr="00965FEB" w:rsidRDefault="00965FEB" w:rsidP="00965FEB">
            <w:pPr>
              <w:rPr>
                <w:rFonts w:asciiTheme="majorHAnsi" w:hAnsiTheme="majorHAnsi" w:cstheme="majorHAnsi"/>
                <w:b/>
                <w:bCs/>
                <w:color w:val="000000" w:themeColor="text1"/>
              </w:rPr>
            </w:pPr>
          </w:p>
        </w:tc>
        <w:tc>
          <w:tcPr>
            <w:tcW w:w="2500" w:type="dxa"/>
          </w:tcPr>
          <w:p w14:paraId="442D9DB9" w14:textId="77777777" w:rsidR="00965FEB" w:rsidRPr="00965FEB" w:rsidRDefault="00965FEB" w:rsidP="00965FEB">
            <w:pPr>
              <w:rPr>
                <w:rFonts w:asciiTheme="majorHAnsi" w:hAnsiTheme="majorHAnsi" w:cstheme="majorHAnsi"/>
                <w:b/>
                <w:bCs/>
                <w:color w:val="000000" w:themeColor="text1"/>
              </w:rPr>
            </w:pPr>
          </w:p>
        </w:tc>
        <w:tc>
          <w:tcPr>
            <w:tcW w:w="2500" w:type="dxa"/>
          </w:tcPr>
          <w:p w14:paraId="25089E98" w14:textId="77777777" w:rsidR="00965FEB" w:rsidRPr="00965FEB" w:rsidRDefault="00965FEB" w:rsidP="00965FEB">
            <w:pPr>
              <w:rPr>
                <w:rFonts w:asciiTheme="majorHAnsi" w:hAnsiTheme="majorHAnsi" w:cstheme="majorHAnsi"/>
                <w:b/>
                <w:bCs/>
                <w:color w:val="000000" w:themeColor="text1"/>
              </w:rPr>
            </w:pPr>
          </w:p>
        </w:tc>
        <w:tc>
          <w:tcPr>
            <w:tcW w:w="2500" w:type="dxa"/>
          </w:tcPr>
          <w:p w14:paraId="56B905A2" w14:textId="77777777" w:rsidR="00965FEB" w:rsidRPr="00965FEB" w:rsidRDefault="00965FEB" w:rsidP="00965FEB">
            <w:pPr>
              <w:rPr>
                <w:rFonts w:asciiTheme="majorHAnsi" w:hAnsiTheme="majorHAnsi" w:cstheme="majorHAnsi"/>
                <w:b/>
                <w:bCs/>
                <w:color w:val="000000" w:themeColor="text1"/>
              </w:rPr>
            </w:pPr>
          </w:p>
        </w:tc>
      </w:tr>
    </w:tbl>
    <w:p w14:paraId="7070683D" w14:textId="77777777" w:rsidR="007639DA" w:rsidRPr="00965FEB" w:rsidRDefault="007639DA" w:rsidP="00965FEB">
      <w:pPr>
        <w:rPr>
          <w:rFonts w:asciiTheme="majorHAnsi" w:hAnsiTheme="majorHAnsi" w:cstheme="majorHAnsi"/>
          <w:color w:val="000000" w:themeColor="text1"/>
        </w:rPr>
      </w:pPr>
      <w:bookmarkStart w:id="9" w:name="_a4nab4hob860" w:colFirst="0" w:colLast="0"/>
      <w:bookmarkEnd w:id="9"/>
    </w:p>
    <w:tbl>
      <w:tblPr>
        <w:tblStyle w:val="a6"/>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7F9C1BA1" w14:textId="77777777" w:rsidTr="00965FEB">
        <w:tc>
          <w:tcPr>
            <w:tcW w:w="10000" w:type="dxa"/>
            <w:gridSpan w:val="4"/>
            <w:shd w:val="clear" w:color="auto" w:fill="F2F2F2" w:themeFill="background1" w:themeFillShade="F2"/>
          </w:tcPr>
          <w:p w14:paraId="1E1E9F9B"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t>8. Overcoming "Respectability Politics" and the Fear of Conflict</w:t>
            </w:r>
          </w:p>
          <w:p w14:paraId="293F61EA" w14:textId="278BE69B"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navigate workplace conflict and authority?</w:t>
            </w:r>
          </w:p>
        </w:tc>
      </w:tr>
      <w:tr w:rsidR="007639DA" w:rsidRPr="00965FEB" w14:paraId="70706843" w14:textId="77777777">
        <w:tc>
          <w:tcPr>
            <w:tcW w:w="2500" w:type="dxa"/>
          </w:tcPr>
          <w:p w14:paraId="7070683F" w14:textId="4B60D018"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Local relies on "respectability politics," assuming polite, closed-door labor-management meetings resolve disputes.</w:t>
            </w:r>
          </w:p>
        </w:tc>
        <w:tc>
          <w:tcPr>
            <w:tcW w:w="2500" w:type="dxa"/>
          </w:tcPr>
          <w:p w14:paraId="70706840"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Growing awareness that quiet meetings yield limited results, but leaders hesitate to organize visible collective pressure.</w:t>
            </w:r>
          </w:p>
        </w:tc>
        <w:tc>
          <w:tcPr>
            <w:tcW w:w="2500" w:type="dxa"/>
          </w:tcPr>
          <w:p w14:paraId="70706841"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Worksite leaders occasionally organize collective site actions (e.g., petition deliveries, wear-red days) to enforce contract rights.</w:t>
            </w:r>
          </w:p>
        </w:tc>
        <w:tc>
          <w:tcPr>
            <w:tcW w:w="2500" w:type="dxa"/>
          </w:tcPr>
          <w:p w14:paraId="70706842"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Local actively rejects respectability traps and "moral victories," focusing on concrete demands backed by collective leverage. 1:10 CAT networks transform isolated fear into collective confidence and </w:t>
            </w:r>
            <w:proofErr w:type="gramStart"/>
            <w:r w:rsidRPr="00965FEB">
              <w:rPr>
                <w:rFonts w:asciiTheme="majorHAnsi" w:hAnsiTheme="majorHAnsi" w:cstheme="majorHAnsi"/>
                <w:color w:val="000000" w:themeColor="text1"/>
                <w:sz w:val="22"/>
                <w:szCs w:val="22"/>
              </w:rPr>
              <w:t>protected</w:t>
            </w:r>
            <w:proofErr w:type="gramEnd"/>
            <w:r w:rsidRPr="00965FEB">
              <w:rPr>
                <w:rFonts w:asciiTheme="majorHAnsi" w:hAnsiTheme="majorHAnsi" w:cstheme="majorHAnsi"/>
                <w:color w:val="000000" w:themeColor="text1"/>
                <w:sz w:val="22"/>
                <w:szCs w:val="22"/>
              </w:rPr>
              <w:t xml:space="preserve"> solidarity.</w:t>
            </w:r>
          </w:p>
        </w:tc>
      </w:tr>
      <w:tr w:rsidR="00B506C7" w:rsidRPr="00965FEB" w14:paraId="38395CA8" w14:textId="77777777">
        <w:tc>
          <w:tcPr>
            <w:tcW w:w="2500" w:type="dxa"/>
          </w:tcPr>
          <w:p w14:paraId="0641BEAB" w14:textId="77777777" w:rsidR="00B506C7" w:rsidRPr="00965FEB" w:rsidRDefault="00B506C7" w:rsidP="00965FEB">
            <w:pPr>
              <w:rPr>
                <w:rFonts w:asciiTheme="majorHAnsi" w:hAnsiTheme="majorHAnsi" w:cstheme="majorHAnsi"/>
                <w:b/>
                <w:bCs/>
                <w:color w:val="000000" w:themeColor="text1"/>
                <w:sz w:val="22"/>
                <w:szCs w:val="22"/>
              </w:rPr>
            </w:pPr>
          </w:p>
        </w:tc>
        <w:tc>
          <w:tcPr>
            <w:tcW w:w="2500" w:type="dxa"/>
          </w:tcPr>
          <w:p w14:paraId="233C4B36" w14:textId="77777777" w:rsidR="00B506C7" w:rsidRPr="00965FEB" w:rsidRDefault="00B506C7" w:rsidP="00965FEB">
            <w:pPr>
              <w:rPr>
                <w:rFonts w:asciiTheme="majorHAnsi" w:hAnsiTheme="majorHAnsi" w:cstheme="majorHAnsi"/>
                <w:b/>
                <w:bCs/>
                <w:color w:val="000000" w:themeColor="text1"/>
                <w:sz w:val="22"/>
                <w:szCs w:val="22"/>
              </w:rPr>
            </w:pPr>
          </w:p>
        </w:tc>
        <w:tc>
          <w:tcPr>
            <w:tcW w:w="2500" w:type="dxa"/>
          </w:tcPr>
          <w:p w14:paraId="5B1E2D15" w14:textId="77777777" w:rsidR="00B506C7" w:rsidRPr="00965FEB" w:rsidRDefault="00B506C7" w:rsidP="00965FEB">
            <w:pPr>
              <w:rPr>
                <w:rFonts w:asciiTheme="majorHAnsi" w:hAnsiTheme="majorHAnsi" w:cstheme="majorHAnsi"/>
                <w:b/>
                <w:bCs/>
                <w:color w:val="000000" w:themeColor="text1"/>
                <w:sz w:val="22"/>
                <w:szCs w:val="22"/>
              </w:rPr>
            </w:pPr>
          </w:p>
        </w:tc>
        <w:tc>
          <w:tcPr>
            <w:tcW w:w="2500" w:type="dxa"/>
          </w:tcPr>
          <w:p w14:paraId="2FB46FFF" w14:textId="77777777" w:rsidR="00B506C7" w:rsidRPr="00965FEB" w:rsidRDefault="00B506C7" w:rsidP="00965FEB">
            <w:pPr>
              <w:rPr>
                <w:rFonts w:asciiTheme="majorHAnsi" w:hAnsiTheme="majorHAnsi" w:cstheme="majorHAnsi"/>
                <w:b/>
                <w:bCs/>
                <w:color w:val="000000" w:themeColor="text1"/>
                <w:sz w:val="22"/>
                <w:szCs w:val="22"/>
              </w:rPr>
            </w:pPr>
          </w:p>
        </w:tc>
      </w:tr>
    </w:tbl>
    <w:p w14:paraId="70706846" w14:textId="77777777" w:rsidR="007639DA" w:rsidRPr="00965FEB" w:rsidRDefault="007639DA" w:rsidP="00965FEB">
      <w:pPr>
        <w:rPr>
          <w:rFonts w:asciiTheme="majorHAnsi" w:hAnsiTheme="majorHAnsi" w:cstheme="majorHAnsi"/>
          <w:color w:val="000000" w:themeColor="text1"/>
        </w:rPr>
      </w:pPr>
      <w:bookmarkStart w:id="10" w:name="_4j8ldk3rrk82" w:colFirst="0" w:colLast="0"/>
      <w:bookmarkEnd w:id="10"/>
    </w:p>
    <w:p w14:paraId="70706847" w14:textId="77777777" w:rsidR="007639DA" w:rsidRPr="00965FEB" w:rsidRDefault="007639DA" w:rsidP="00965FEB">
      <w:pPr>
        <w:rPr>
          <w:rFonts w:asciiTheme="majorHAnsi" w:hAnsiTheme="majorHAnsi" w:cstheme="majorHAnsi"/>
          <w:color w:val="000000" w:themeColor="text1"/>
        </w:rPr>
      </w:pPr>
    </w:p>
    <w:tbl>
      <w:tblPr>
        <w:tblStyle w:val="a7"/>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1E9B9BDD" w14:textId="77777777" w:rsidTr="00965FEB">
        <w:tc>
          <w:tcPr>
            <w:tcW w:w="10000" w:type="dxa"/>
            <w:gridSpan w:val="4"/>
            <w:shd w:val="clear" w:color="auto" w:fill="F2F2F2" w:themeFill="background1" w:themeFillShade="F2"/>
          </w:tcPr>
          <w:p w14:paraId="1AF04D98"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lastRenderedPageBreak/>
              <w:t>9. Defensive Organizing &amp; Anti-Authoritarian Protection</w:t>
            </w:r>
          </w:p>
          <w:p w14:paraId="06E51D24" w14:textId="5B6E5569"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respond to political, civil rights, and community threats?</w:t>
            </w:r>
          </w:p>
        </w:tc>
      </w:tr>
      <w:tr w:rsidR="007639DA" w:rsidRPr="00965FEB" w14:paraId="7070684C" w14:textId="77777777">
        <w:tc>
          <w:tcPr>
            <w:tcW w:w="2500" w:type="dxa"/>
          </w:tcPr>
          <w:p w14:paraId="70706848" w14:textId="7D08F4A8"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Union does not respond to community or political crises outside standard contractual scope.</w:t>
            </w:r>
          </w:p>
        </w:tc>
        <w:tc>
          <w:tcPr>
            <w:tcW w:w="2500" w:type="dxa"/>
          </w:tcPr>
          <w:p w14:paraId="70706849"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Local issues statements or </w:t>
            </w:r>
            <w:proofErr w:type="gramStart"/>
            <w:r w:rsidRPr="00965FEB">
              <w:rPr>
                <w:rFonts w:asciiTheme="majorHAnsi" w:hAnsiTheme="majorHAnsi" w:cstheme="majorHAnsi"/>
                <w:color w:val="000000" w:themeColor="text1"/>
                <w:sz w:val="22"/>
                <w:szCs w:val="22"/>
              </w:rPr>
              <w:t>attends</w:t>
            </w:r>
            <w:proofErr w:type="gramEnd"/>
            <w:r w:rsidRPr="00965FEB">
              <w:rPr>
                <w:rFonts w:asciiTheme="majorHAnsi" w:hAnsiTheme="majorHAnsi" w:cstheme="majorHAnsi"/>
                <w:color w:val="000000" w:themeColor="text1"/>
                <w:sz w:val="22"/>
                <w:szCs w:val="22"/>
              </w:rPr>
              <w:t xml:space="preserve"> community rallies during major political or civil rights crises.</w:t>
            </w:r>
          </w:p>
        </w:tc>
        <w:tc>
          <w:tcPr>
            <w:tcW w:w="2500" w:type="dxa"/>
          </w:tcPr>
          <w:p w14:paraId="7070684A"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Local coordinate with community organizations on specific defense efforts (e.g., voter education, student safety).</w:t>
            </w:r>
          </w:p>
        </w:tc>
        <w:tc>
          <w:tcPr>
            <w:tcW w:w="2500" w:type="dxa"/>
          </w:tcPr>
          <w:p w14:paraId="7070684B"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Local repurposes its site-level communication trees and strike infrastructure for rapid-response community defense (e.g., protecting immigrant families/ICE defense, supporting LGBTQ+ youth, and election protection).</w:t>
            </w:r>
          </w:p>
        </w:tc>
      </w:tr>
      <w:tr w:rsidR="00965FEB" w:rsidRPr="00965FEB" w14:paraId="79AAE776" w14:textId="77777777">
        <w:tc>
          <w:tcPr>
            <w:tcW w:w="2500" w:type="dxa"/>
          </w:tcPr>
          <w:p w14:paraId="7F36DC25" w14:textId="77777777" w:rsidR="00965FEB" w:rsidRPr="00965FEB" w:rsidRDefault="00965FEB" w:rsidP="00965FEB">
            <w:pPr>
              <w:rPr>
                <w:rFonts w:asciiTheme="majorHAnsi" w:hAnsiTheme="majorHAnsi" w:cstheme="majorHAnsi"/>
                <w:b/>
                <w:bCs/>
                <w:color w:val="000000" w:themeColor="text1"/>
              </w:rPr>
            </w:pPr>
          </w:p>
        </w:tc>
        <w:tc>
          <w:tcPr>
            <w:tcW w:w="2500" w:type="dxa"/>
          </w:tcPr>
          <w:p w14:paraId="76A876D1" w14:textId="77777777" w:rsidR="00965FEB" w:rsidRPr="00965FEB" w:rsidRDefault="00965FEB" w:rsidP="00965FEB">
            <w:pPr>
              <w:rPr>
                <w:rFonts w:asciiTheme="majorHAnsi" w:hAnsiTheme="majorHAnsi" w:cstheme="majorHAnsi"/>
                <w:b/>
                <w:bCs/>
                <w:color w:val="000000" w:themeColor="text1"/>
              </w:rPr>
            </w:pPr>
          </w:p>
        </w:tc>
        <w:tc>
          <w:tcPr>
            <w:tcW w:w="2500" w:type="dxa"/>
          </w:tcPr>
          <w:p w14:paraId="37E32809" w14:textId="77777777" w:rsidR="00965FEB" w:rsidRPr="00965FEB" w:rsidRDefault="00965FEB" w:rsidP="00965FEB">
            <w:pPr>
              <w:rPr>
                <w:rFonts w:asciiTheme="majorHAnsi" w:hAnsiTheme="majorHAnsi" w:cstheme="majorHAnsi"/>
                <w:b/>
                <w:bCs/>
                <w:color w:val="000000" w:themeColor="text1"/>
              </w:rPr>
            </w:pPr>
          </w:p>
        </w:tc>
        <w:tc>
          <w:tcPr>
            <w:tcW w:w="2500" w:type="dxa"/>
          </w:tcPr>
          <w:p w14:paraId="2083C1B4" w14:textId="77777777" w:rsidR="00965FEB" w:rsidRPr="00965FEB" w:rsidRDefault="00965FEB" w:rsidP="00965FEB">
            <w:pPr>
              <w:rPr>
                <w:rFonts w:asciiTheme="majorHAnsi" w:hAnsiTheme="majorHAnsi" w:cstheme="majorHAnsi"/>
                <w:b/>
                <w:bCs/>
                <w:color w:val="000000" w:themeColor="text1"/>
              </w:rPr>
            </w:pPr>
          </w:p>
        </w:tc>
      </w:tr>
    </w:tbl>
    <w:p w14:paraId="7070684F" w14:textId="77777777" w:rsidR="007639DA" w:rsidRPr="00965FEB" w:rsidRDefault="007639DA" w:rsidP="00965FEB">
      <w:pPr>
        <w:rPr>
          <w:rFonts w:asciiTheme="majorHAnsi" w:hAnsiTheme="majorHAnsi" w:cstheme="majorHAnsi"/>
          <w:color w:val="000000" w:themeColor="text1"/>
        </w:rPr>
      </w:pPr>
      <w:bookmarkStart w:id="11" w:name="_otr3ijkvwvm7" w:colFirst="0" w:colLast="0"/>
      <w:bookmarkEnd w:id="11"/>
    </w:p>
    <w:p w14:paraId="70706850" w14:textId="77777777" w:rsidR="007639DA" w:rsidRPr="00965FEB" w:rsidRDefault="007639DA" w:rsidP="00965FEB">
      <w:pPr>
        <w:rPr>
          <w:rFonts w:asciiTheme="majorHAnsi" w:hAnsiTheme="majorHAnsi" w:cstheme="majorHAnsi"/>
          <w:color w:val="000000" w:themeColor="text1"/>
        </w:rPr>
      </w:pPr>
    </w:p>
    <w:tbl>
      <w:tblPr>
        <w:tblStyle w:val="a8"/>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0B78612B" w14:textId="77777777" w:rsidTr="00566A3C">
        <w:tc>
          <w:tcPr>
            <w:tcW w:w="10000" w:type="dxa"/>
            <w:gridSpan w:val="4"/>
            <w:shd w:val="clear" w:color="auto" w:fill="F2F2F2" w:themeFill="background1" w:themeFillShade="F2"/>
          </w:tcPr>
          <w:p w14:paraId="117FCA7A"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t>10. The Strategic Plan—Guarding the Roadmap and Building Coherence</w:t>
            </w:r>
          </w:p>
          <w:p w14:paraId="1AD228EA" w14:textId="0D5716F7"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align its vision and prevent reactive firefighting?</w:t>
            </w:r>
          </w:p>
        </w:tc>
      </w:tr>
      <w:tr w:rsidR="007639DA" w:rsidRPr="00965FEB" w14:paraId="70706855" w14:textId="77777777">
        <w:tc>
          <w:tcPr>
            <w:tcW w:w="2500" w:type="dxa"/>
          </w:tcPr>
          <w:p w14:paraId="70706851" w14:textId="3B44667B"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Planning is non-existent; local operates in continuous reactive firefighting mode.</w:t>
            </w:r>
          </w:p>
        </w:tc>
        <w:tc>
          <w:tcPr>
            <w:tcW w:w="2500" w:type="dxa"/>
          </w:tcPr>
          <w:p w14:paraId="70706852"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Annual goals exist but are regularly set aside when daily operational crises occur.</w:t>
            </w:r>
          </w:p>
        </w:tc>
        <w:tc>
          <w:tcPr>
            <w:tcW w:w="2500" w:type="dxa"/>
          </w:tcPr>
          <w:p w14:paraId="70706853"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A strategic plan guides major campaign cycles and budget allocations.</w:t>
            </w:r>
          </w:p>
        </w:tc>
        <w:tc>
          <w:tcPr>
            <w:tcW w:w="2500" w:type="dxa"/>
          </w:tcPr>
          <w:p w14:paraId="70706854"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A co-created, democratized strategic plan (distilled into a clear roadmap) drives all operations. The local distinguishes structure-building from issue campaigns, aligns annual launches around the roadmap, and systematically executes program-driven worksite visits.</w:t>
            </w:r>
          </w:p>
        </w:tc>
      </w:tr>
      <w:tr w:rsidR="00965FEB" w:rsidRPr="00965FEB" w14:paraId="2050D7FC" w14:textId="77777777">
        <w:tc>
          <w:tcPr>
            <w:tcW w:w="2500" w:type="dxa"/>
          </w:tcPr>
          <w:p w14:paraId="03994570" w14:textId="77777777" w:rsidR="00965FEB" w:rsidRPr="00965FEB" w:rsidRDefault="00965FEB" w:rsidP="00965FEB">
            <w:pPr>
              <w:rPr>
                <w:rFonts w:asciiTheme="majorHAnsi" w:hAnsiTheme="majorHAnsi" w:cstheme="majorHAnsi"/>
                <w:b/>
                <w:bCs/>
                <w:color w:val="000000" w:themeColor="text1"/>
              </w:rPr>
            </w:pPr>
          </w:p>
        </w:tc>
        <w:tc>
          <w:tcPr>
            <w:tcW w:w="2500" w:type="dxa"/>
          </w:tcPr>
          <w:p w14:paraId="2A0996FB" w14:textId="77777777" w:rsidR="00965FEB" w:rsidRPr="00965FEB" w:rsidRDefault="00965FEB" w:rsidP="00965FEB">
            <w:pPr>
              <w:rPr>
                <w:rFonts w:asciiTheme="majorHAnsi" w:hAnsiTheme="majorHAnsi" w:cstheme="majorHAnsi"/>
                <w:b/>
                <w:bCs/>
                <w:color w:val="000000" w:themeColor="text1"/>
              </w:rPr>
            </w:pPr>
          </w:p>
        </w:tc>
        <w:tc>
          <w:tcPr>
            <w:tcW w:w="2500" w:type="dxa"/>
          </w:tcPr>
          <w:p w14:paraId="4CF1E4FD" w14:textId="77777777" w:rsidR="00965FEB" w:rsidRPr="00965FEB" w:rsidRDefault="00965FEB" w:rsidP="00965FEB">
            <w:pPr>
              <w:rPr>
                <w:rFonts w:asciiTheme="majorHAnsi" w:hAnsiTheme="majorHAnsi" w:cstheme="majorHAnsi"/>
                <w:b/>
                <w:bCs/>
                <w:color w:val="000000" w:themeColor="text1"/>
              </w:rPr>
            </w:pPr>
          </w:p>
        </w:tc>
        <w:tc>
          <w:tcPr>
            <w:tcW w:w="2500" w:type="dxa"/>
          </w:tcPr>
          <w:p w14:paraId="76EA9486" w14:textId="77777777" w:rsidR="00965FEB" w:rsidRPr="00965FEB" w:rsidRDefault="00965FEB" w:rsidP="00965FEB">
            <w:pPr>
              <w:rPr>
                <w:rFonts w:asciiTheme="majorHAnsi" w:hAnsiTheme="majorHAnsi" w:cstheme="majorHAnsi"/>
                <w:b/>
                <w:bCs/>
                <w:color w:val="000000" w:themeColor="text1"/>
              </w:rPr>
            </w:pPr>
          </w:p>
        </w:tc>
      </w:tr>
    </w:tbl>
    <w:p w14:paraId="70706858" w14:textId="77777777" w:rsidR="007639DA" w:rsidRPr="00965FEB" w:rsidRDefault="007639DA" w:rsidP="00965FEB">
      <w:pPr>
        <w:rPr>
          <w:rFonts w:asciiTheme="majorHAnsi" w:hAnsiTheme="majorHAnsi" w:cstheme="majorHAnsi"/>
          <w:color w:val="000000" w:themeColor="text1"/>
        </w:rPr>
      </w:pPr>
      <w:bookmarkStart w:id="12" w:name="_hmuggkc9oais" w:colFirst="0" w:colLast="0"/>
      <w:bookmarkEnd w:id="12"/>
    </w:p>
    <w:p w14:paraId="70706859" w14:textId="77777777" w:rsidR="007639DA" w:rsidRPr="00965FEB" w:rsidRDefault="007639DA" w:rsidP="00965FEB">
      <w:pPr>
        <w:rPr>
          <w:rFonts w:asciiTheme="majorHAnsi" w:hAnsiTheme="majorHAnsi" w:cstheme="majorHAnsi"/>
          <w:color w:val="000000" w:themeColor="text1"/>
        </w:rPr>
      </w:pPr>
    </w:p>
    <w:tbl>
      <w:tblPr>
        <w:tblStyle w:val="a9"/>
        <w:tblW w:w="10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0"/>
        <w:gridCol w:w="2500"/>
        <w:gridCol w:w="2500"/>
        <w:gridCol w:w="2500"/>
      </w:tblGrid>
      <w:tr w:rsidR="00965FEB" w:rsidRPr="00965FEB" w14:paraId="7609FE06" w14:textId="77777777" w:rsidTr="00F55627">
        <w:tc>
          <w:tcPr>
            <w:tcW w:w="10000" w:type="dxa"/>
            <w:gridSpan w:val="4"/>
            <w:shd w:val="clear" w:color="auto" w:fill="F2F2F2" w:themeFill="background1" w:themeFillShade="F2"/>
          </w:tcPr>
          <w:p w14:paraId="20BD2F69" w14:textId="77777777" w:rsidR="00965FEB" w:rsidRPr="00965FEB" w:rsidRDefault="00965FEB" w:rsidP="00965FEB">
            <w:pPr>
              <w:pStyle w:val="Heading1"/>
              <w:spacing w:before="0" w:after="0"/>
              <w:rPr>
                <w:rFonts w:asciiTheme="majorHAnsi" w:hAnsiTheme="majorHAnsi" w:cstheme="majorHAnsi"/>
                <w:color w:val="000000" w:themeColor="text1"/>
                <w:sz w:val="24"/>
                <w:szCs w:val="24"/>
              </w:rPr>
            </w:pPr>
            <w:r w:rsidRPr="00965FEB">
              <w:rPr>
                <w:rFonts w:asciiTheme="majorHAnsi" w:hAnsiTheme="majorHAnsi" w:cstheme="majorHAnsi"/>
                <w:color w:val="000000" w:themeColor="text1"/>
                <w:sz w:val="24"/>
                <w:szCs w:val="24"/>
              </w:rPr>
              <w:lastRenderedPageBreak/>
              <w:t>11. Methodical Structure Tests—Measuring Member Readiness</w:t>
            </w:r>
          </w:p>
          <w:p w14:paraId="69C99946" w14:textId="1E51FE4B" w:rsidR="00965FEB" w:rsidRPr="00965FEB" w:rsidRDefault="00965FEB" w:rsidP="00965FEB">
            <w:pPr>
              <w:rPr>
                <w:rFonts w:asciiTheme="majorHAnsi" w:hAnsiTheme="majorHAnsi" w:cstheme="majorHAnsi"/>
                <w:color w:val="000000" w:themeColor="text1"/>
              </w:rPr>
            </w:pPr>
            <w:r w:rsidRPr="00965FEB">
              <w:rPr>
                <w:rFonts w:asciiTheme="majorHAnsi" w:hAnsiTheme="majorHAnsi" w:cstheme="majorHAnsi"/>
                <w:color w:val="000000" w:themeColor="text1"/>
              </w:rPr>
              <w:t>How does the local evaluate member leverage before escalating campaigns?</w:t>
            </w:r>
          </w:p>
        </w:tc>
      </w:tr>
      <w:tr w:rsidR="007639DA" w:rsidRPr="00965FEB" w14:paraId="7070685E" w14:textId="77777777">
        <w:tc>
          <w:tcPr>
            <w:tcW w:w="2500" w:type="dxa"/>
          </w:tcPr>
          <w:p w14:paraId="7070685A" w14:textId="775D7613"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1 (</w:t>
            </w:r>
            <w:r w:rsidR="00B506C7">
              <w:rPr>
                <w:rFonts w:asciiTheme="majorHAnsi" w:hAnsiTheme="majorHAnsi" w:cstheme="majorHAnsi"/>
                <w:b/>
                <w:bCs/>
                <w:color w:val="000000" w:themeColor="text1"/>
                <w:sz w:val="22"/>
                <w:szCs w:val="22"/>
              </w:rPr>
              <w:t>Servicing</w:t>
            </w:r>
            <w:r w:rsidRPr="00965FEB">
              <w:rPr>
                <w:rFonts w:asciiTheme="majorHAnsi" w:hAnsiTheme="majorHAnsi" w:cstheme="majorHAnsi"/>
                <w:b/>
                <w:bCs/>
                <w:color w:val="000000" w:themeColor="text1"/>
                <w:sz w:val="22"/>
                <w:szCs w:val="22"/>
              </w:rPr>
              <w:t>):</w:t>
            </w:r>
            <w:r w:rsidRPr="00965FEB">
              <w:rPr>
                <w:rFonts w:asciiTheme="majorHAnsi" w:hAnsiTheme="majorHAnsi" w:cstheme="majorHAnsi"/>
                <w:color w:val="000000" w:themeColor="text1"/>
                <w:sz w:val="22"/>
                <w:szCs w:val="22"/>
              </w:rPr>
              <w:t xml:space="preserve"> Local relies on guesswork or assumptions, jumping into escalations without testing member readiness.</w:t>
            </w:r>
          </w:p>
        </w:tc>
        <w:tc>
          <w:tcPr>
            <w:tcW w:w="2500" w:type="dxa"/>
          </w:tcPr>
          <w:p w14:paraId="7070685B"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2 (Emerging):</w:t>
            </w:r>
            <w:r w:rsidRPr="00965FEB">
              <w:rPr>
                <w:rFonts w:asciiTheme="majorHAnsi" w:hAnsiTheme="majorHAnsi" w:cstheme="majorHAnsi"/>
                <w:color w:val="000000" w:themeColor="text1"/>
                <w:sz w:val="22"/>
                <w:szCs w:val="22"/>
              </w:rPr>
              <w:t xml:space="preserve"> Local tracks basic participation metrics (e.g., online survey response counts).</w:t>
            </w:r>
          </w:p>
        </w:tc>
        <w:tc>
          <w:tcPr>
            <w:tcW w:w="2500" w:type="dxa"/>
          </w:tcPr>
          <w:p w14:paraId="7070685C"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3 (Growing):</w:t>
            </w:r>
            <w:r w:rsidRPr="00965FEB">
              <w:rPr>
                <w:rFonts w:asciiTheme="majorHAnsi" w:hAnsiTheme="majorHAnsi" w:cstheme="majorHAnsi"/>
                <w:color w:val="000000" w:themeColor="text1"/>
                <w:sz w:val="22"/>
                <w:szCs w:val="22"/>
              </w:rPr>
              <w:t xml:space="preserve"> Local uses simple structure tests (e.g., button days, wear-red days) to gauge member engagement before major events.</w:t>
            </w:r>
          </w:p>
        </w:tc>
        <w:tc>
          <w:tcPr>
            <w:tcW w:w="2500" w:type="dxa"/>
          </w:tcPr>
          <w:p w14:paraId="7070685D" w14:textId="77777777" w:rsidR="007639DA" w:rsidRPr="00965FEB" w:rsidRDefault="00D46AF7" w:rsidP="00965FEB">
            <w:pPr>
              <w:rPr>
                <w:rFonts w:asciiTheme="majorHAnsi" w:hAnsiTheme="majorHAnsi" w:cstheme="majorHAnsi"/>
                <w:color w:val="000000" w:themeColor="text1"/>
                <w:sz w:val="22"/>
                <w:szCs w:val="22"/>
              </w:rPr>
            </w:pPr>
            <w:r w:rsidRPr="00965FEB">
              <w:rPr>
                <w:rFonts w:asciiTheme="majorHAnsi" w:hAnsiTheme="majorHAnsi" w:cstheme="majorHAnsi"/>
                <w:b/>
                <w:bCs/>
                <w:color w:val="000000" w:themeColor="text1"/>
                <w:sz w:val="22"/>
                <w:szCs w:val="22"/>
              </w:rPr>
              <w:t>4 (High):</w:t>
            </w:r>
            <w:r w:rsidRPr="00965FEB">
              <w:rPr>
                <w:rFonts w:asciiTheme="majorHAnsi" w:hAnsiTheme="majorHAnsi" w:cstheme="majorHAnsi"/>
                <w:color w:val="000000" w:themeColor="text1"/>
                <w:sz w:val="22"/>
                <w:szCs w:val="22"/>
              </w:rPr>
              <w:t xml:space="preserve"> Local deploys an escalating sequence of quantifiable structure tests (e.g., 1:1 signed platform pledges, sticker days, strike vote pledges) with strict majoritarian thresholds (70–80%+ active participation) acting as mathematical "gates" to confirm supermajority readiness.</w:t>
            </w:r>
          </w:p>
        </w:tc>
      </w:tr>
      <w:tr w:rsidR="00965FEB" w:rsidRPr="00965FEB" w14:paraId="19477FBB" w14:textId="77777777">
        <w:tc>
          <w:tcPr>
            <w:tcW w:w="2500" w:type="dxa"/>
          </w:tcPr>
          <w:p w14:paraId="7DFA36DF" w14:textId="77777777" w:rsidR="00965FEB" w:rsidRPr="00965FEB" w:rsidRDefault="00965FEB" w:rsidP="00965FEB">
            <w:pPr>
              <w:rPr>
                <w:rFonts w:asciiTheme="majorHAnsi" w:hAnsiTheme="majorHAnsi" w:cstheme="majorHAnsi"/>
                <w:b/>
                <w:bCs/>
                <w:color w:val="000000" w:themeColor="text1"/>
              </w:rPr>
            </w:pPr>
          </w:p>
        </w:tc>
        <w:tc>
          <w:tcPr>
            <w:tcW w:w="2500" w:type="dxa"/>
          </w:tcPr>
          <w:p w14:paraId="0318082B" w14:textId="77777777" w:rsidR="00965FEB" w:rsidRPr="00965FEB" w:rsidRDefault="00965FEB" w:rsidP="00965FEB">
            <w:pPr>
              <w:rPr>
                <w:rFonts w:asciiTheme="majorHAnsi" w:hAnsiTheme="majorHAnsi" w:cstheme="majorHAnsi"/>
                <w:b/>
                <w:bCs/>
                <w:color w:val="000000" w:themeColor="text1"/>
              </w:rPr>
            </w:pPr>
          </w:p>
        </w:tc>
        <w:tc>
          <w:tcPr>
            <w:tcW w:w="2500" w:type="dxa"/>
          </w:tcPr>
          <w:p w14:paraId="4BFE168A" w14:textId="77777777" w:rsidR="00965FEB" w:rsidRPr="00965FEB" w:rsidRDefault="00965FEB" w:rsidP="00965FEB">
            <w:pPr>
              <w:rPr>
                <w:rFonts w:asciiTheme="majorHAnsi" w:hAnsiTheme="majorHAnsi" w:cstheme="majorHAnsi"/>
                <w:b/>
                <w:bCs/>
                <w:color w:val="000000" w:themeColor="text1"/>
              </w:rPr>
            </w:pPr>
          </w:p>
        </w:tc>
        <w:tc>
          <w:tcPr>
            <w:tcW w:w="2500" w:type="dxa"/>
          </w:tcPr>
          <w:p w14:paraId="6DB37975" w14:textId="77777777" w:rsidR="00965FEB" w:rsidRPr="00965FEB" w:rsidRDefault="00965FEB" w:rsidP="00965FEB">
            <w:pPr>
              <w:rPr>
                <w:rFonts w:asciiTheme="majorHAnsi" w:hAnsiTheme="majorHAnsi" w:cstheme="majorHAnsi"/>
                <w:b/>
                <w:bCs/>
                <w:color w:val="000000" w:themeColor="text1"/>
              </w:rPr>
            </w:pPr>
          </w:p>
        </w:tc>
      </w:tr>
      <w:tr w:rsidR="007401A0" w:rsidRPr="00965FEB" w14:paraId="2CB0FAF0" w14:textId="77777777" w:rsidTr="00CA1E4A">
        <w:tc>
          <w:tcPr>
            <w:tcW w:w="5000" w:type="dxa"/>
            <w:gridSpan w:val="2"/>
          </w:tcPr>
          <w:p w14:paraId="0456675F" w14:textId="3811EE37" w:rsidR="007401A0" w:rsidRPr="00965FEB" w:rsidRDefault="007401A0" w:rsidP="007401A0">
            <w:pPr>
              <w:jc w:val="right"/>
              <w:rPr>
                <w:rFonts w:asciiTheme="majorHAnsi" w:hAnsiTheme="majorHAnsi" w:cstheme="majorHAnsi"/>
                <w:b/>
                <w:bCs/>
                <w:color w:val="000000" w:themeColor="text1"/>
              </w:rPr>
            </w:pPr>
            <w:r>
              <w:rPr>
                <w:rFonts w:asciiTheme="majorHAnsi" w:hAnsiTheme="majorHAnsi" w:cstheme="majorHAnsi"/>
                <w:b/>
                <w:bCs/>
                <w:color w:val="000000" w:themeColor="text1"/>
              </w:rPr>
              <w:t>Total of All Dimensions</w:t>
            </w:r>
          </w:p>
        </w:tc>
        <w:tc>
          <w:tcPr>
            <w:tcW w:w="5000" w:type="dxa"/>
            <w:gridSpan w:val="2"/>
          </w:tcPr>
          <w:p w14:paraId="7C0A2817" w14:textId="77777777" w:rsidR="007401A0" w:rsidRPr="00965FEB" w:rsidRDefault="007401A0" w:rsidP="00965FEB">
            <w:pPr>
              <w:rPr>
                <w:rFonts w:asciiTheme="majorHAnsi" w:hAnsiTheme="majorHAnsi" w:cstheme="majorHAnsi"/>
                <w:b/>
                <w:bCs/>
                <w:color w:val="000000" w:themeColor="text1"/>
              </w:rPr>
            </w:pPr>
          </w:p>
        </w:tc>
      </w:tr>
    </w:tbl>
    <w:p w14:paraId="7070685F" w14:textId="77777777" w:rsidR="007639DA" w:rsidRPr="00965FEB" w:rsidRDefault="007639DA" w:rsidP="00965FEB">
      <w:pPr>
        <w:rPr>
          <w:rFonts w:asciiTheme="majorHAnsi" w:hAnsiTheme="majorHAnsi" w:cstheme="majorHAnsi"/>
          <w:color w:val="000000" w:themeColor="text1"/>
        </w:rPr>
      </w:pPr>
    </w:p>
    <w:p w14:paraId="53E85502" w14:textId="77777777" w:rsidR="00965FEB" w:rsidRDefault="00965FEB" w:rsidP="00965FEB">
      <w:pPr>
        <w:pStyle w:val="Heading1"/>
        <w:spacing w:before="0" w:after="0"/>
        <w:rPr>
          <w:rFonts w:asciiTheme="majorHAnsi" w:hAnsiTheme="majorHAnsi" w:cstheme="majorHAnsi"/>
          <w:color w:val="000000" w:themeColor="text1"/>
          <w:sz w:val="24"/>
          <w:szCs w:val="24"/>
        </w:rPr>
      </w:pPr>
      <w:bookmarkStart w:id="13" w:name="_8z2kukne38st" w:colFirst="0" w:colLast="0"/>
      <w:bookmarkEnd w:id="13"/>
    </w:p>
    <w:p w14:paraId="6B3B0E35" w14:textId="4C0646BE" w:rsidR="00B506C7" w:rsidRPr="002775DA" w:rsidRDefault="00B506C7" w:rsidP="00B506C7">
      <w:pPr>
        <w:keepNext/>
        <w:spacing w:before="240" w:after="80"/>
        <w:rPr>
          <w:color w:val="000000" w:themeColor="text1"/>
        </w:rPr>
      </w:pPr>
      <w:r w:rsidRPr="002775DA">
        <w:rPr>
          <w:rFonts w:ascii="Calibri" w:hAnsi="Calibri"/>
          <w:b/>
          <w:color w:val="000000" w:themeColor="text1"/>
        </w:rPr>
        <w:t>Calculating Total Score &amp; Organizational Readiness Level</w:t>
      </w:r>
    </w:p>
    <w:p w14:paraId="539D04FC" w14:textId="77777777" w:rsidR="00B506C7" w:rsidRPr="002775DA" w:rsidRDefault="00B506C7" w:rsidP="00B506C7">
      <w:pPr>
        <w:spacing w:after="120"/>
        <w:rPr>
          <w:color w:val="000000" w:themeColor="text1"/>
        </w:rPr>
      </w:pPr>
      <w:r w:rsidRPr="002775DA">
        <w:rPr>
          <w:color w:val="000000" w:themeColor="text1"/>
        </w:rPr>
        <w:t>Sum the agreed consensus scores across all 11 categories (Maximum Total Score: 44 Points). Match the total score to the corresponding Organizational Tier:</w:t>
      </w:r>
    </w:p>
    <w:tbl>
      <w:tblPr>
        <w:tblW w:w="0" w:type="auto"/>
        <w:jc w:val="center"/>
        <w:tblLayout w:type="fixed"/>
        <w:tblLook w:val="04A0" w:firstRow="1" w:lastRow="0" w:firstColumn="1" w:lastColumn="0" w:noHBand="0" w:noVBand="1"/>
      </w:tblPr>
      <w:tblGrid>
        <w:gridCol w:w="1584"/>
        <w:gridCol w:w="2160"/>
        <w:gridCol w:w="2592"/>
        <w:gridCol w:w="3600"/>
      </w:tblGrid>
      <w:tr w:rsidR="00B506C7" w:rsidRPr="002775DA" w14:paraId="15CED726" w14:textId="77777777" w:rsidTr="00351680">
        <w:trPr>
          <w:jc w:val="center"/>
        </w:trPr>
        <w:tc>
          <w:tcPr>
            <w:tcW w:w="1584" w:type="dxa"/>
            <w:shd w:val="clear" w:color="auto" w:fill="D9D9D9" w:themeFill="background1" w:themeFillShade="D9"/>
            <w:tcMar>
              <w:top w:w="120" w:type="dxa"/>
              <w:left w:w="150" w:type="dxa"/>
              <w:bottom w:w="120" w:type="dxa"/>
              <w:right w:w="150" w:type="dxa"/>
            </w:tcMar>
          </w:tcPr>
          <w:p w14:paraId="49D50998" w14:textId="77777777" w:rsidR="00B506C7" w:rsidRPr="002775DA" w:rsidRDefault="00B506C7" w:rsidP="00351680">
            <w:pPr>
              <w:rPr>
                <w:color w:val="000000" w:themeColor="text1"/>
              </w:rPr>
            </w:pPr>
            <w:r w:rsidRPr="002775DA">
              <w:rPr>
                <w:rFonts w:ascii="Calibri" w:hAnsi="Calibri"/>
                <w:b/>
                <w:color w:val="000000" w:themeColor="text1"/>
              </w:rPr>
              <w:t>Score Range</w:t>
            </w:r>
          </w:p>
        </w:tc>
        <w:tc>
          <w:tcPr>
            <w:tcW w:w="2160" w:type="dxa"/>
            <w:shd w:val="clear" w:color="auto" w:fill="D9D9D9" w:themeFill="background1" w:themeFillShade="D9"/>
            <w:tcMar>
              <w:top w:w="120" w:type="dxa"/>
              <w:left w:w="150" w:type="dxa"/>
              <w:bottom w:w="120" w:type="dxa"/>
              <w:right w:w="150" w:type="dxa"/>
            </w:tcMar>
          </w:tcPr>
          <w:p w14:paraId="0CDDE217" w14:textId="77777777" w:rsidR="00B506C7" w:rsidRPr="002775DA" w:rsidRDefault="00B506C7" w:rsidP="00351680">
            <w:pPr>
              <w:rPr>
                <w:color w:val="000000" w:themeColor="text1"/>
              </w:rPr>
            </w:pPr>
            <w:r w:rsidRPr="002775DA">
              <w:rPr>
                <w:rFonts w:ascii="Calibri" w:hAnsi="Calibri"/>
                <w:b/>
                <w:color w:val="000000" w:themeColor="text1"/>
              </w:rPr>
              <w:t>Organizational Tier</w:t>
            </w:r>
          </w:p>
        </w:tc>
        <w:tc>
          <w:tcPr>
            <w:tcW w:w="2592" w:type="dxa"/>
            <w:shd w:val="clear" w:color="auto" w:fill="D9D9D9" w:themeFill="background1" w:themeFillShade="D9"/>
            <w:tcMar>
              <w:top w:w="120" w:type="dxa"/>
              <w:left w:w="150" w:type="dxa"/>
              <w:bottom w:w="120" w:type="dxa"/>
              <w:right w:w="150" w:type="dxa"/>
            </w:tcMar>
          </w:tcPr>
          <w:p w14:paraId="373745FA" w14:textId="77777777" w:rsidR="00B506C7" w:rsidRPr="002775DA" w:rsidRDefault="00B506C7" w:rsidP="00351680">
            <w:pPr>
              <w:rPr>
                <w:color w:val="000000" w:themeColor="text1"/>
              </w:rPr>
            </w:pPr>
            <w:r w:rsidRPr="002775DA">
              <w:rPr>
                <w:rFonts w:ascii="Calibri" w:hAnsi="Calibri"/>
                <w:b/>
                <w:color w:val="000000" w:themeColor="text1"/>
              </w:rPr>
              <w:t>Dominant Model</w:t>
            </w:r>
          </w:p>
        </w:tc>
        <w:tc>
          <w:tcPr>
            <w:tcW w:w="3600" w:type="dxa"/>
            <w:shd w:val="clear" w:color="auto" w:fill="D9D9D9" w:themeFill="background1" w:themeFillShade="D9"/>
            <w:tcMar>
              <w:top w:w="120" w:type="dxa"/>
              <w:left w:w="150" w:type="dxa"/>
              <w:bottom w:w="120" w:type="dxa"/>
              <w:right w:w="150" w:type="dxa"/>
            </w:tcMar>
          </w:tcPr>
          <w:p w14:paraId="5E845572" w14:textId="77777777" w:rsidR="00B506C7" w:rsidRPr="002775DA" w:rsidRDefault="00B506C7" w:rsidP="00351680">
            <w:pPr>
              <w:rPr>
                <w:color w:val="000000" w:themeColor="text1"/>
              </w:rPr>
            </w:pPr>
            <w:r w:rsidRPr="002775DA">
              <w:rPr>
                <w:rFonts w:ascii="Calibri" w:hAnsi="Calibri"/>
                <w:b/>
                <w:color w:val="000000" w:themeColor="text1"/>
              </w:rPr>
              <w:t>Strategic Priority</w:t>
            </w:r>
          </w:p>
        </w:tc>
      </w:tr>
      <w:tr w:rsidR="00B506C7" w:rsidRPr="002775DA" w14:paraId="00B08894" w14:textId="77777777" w:rsidTr="00351680">
        <w:trPr>
          <w:jc w:val="center"/>
        </w:trPr>
        <w:tc>
          <w:tcPr>
            <w:tcW w:w="1584" w:type="dxa"/>
            <w:shd w:val="clear" w:color="auto" w:fill="F9FAFC"/>
            <w:tcMar>
              <w:top w:w="80" w:type="dxa"/>
              <w:left w:w="120" w:type="dxa"/>
              <w:bottom w:w="80" w:type="dxa"/>
              <w:right w:w="120" w:type="dxa"/>
            </w:tcMar>
          </w:tcPr>
          <w:p w14:paraId="3B209363" w14:textId="77777777" w:rsidR="00B506C7" w:rsidRPr="002775DA" w:rsidRDefault="00B506C7" w:rsidP="00351680">
            <w:pPr>
              <w:rPr>
                <w:color w:val="000000" w:themeColor="text1"/>
              </w:rPr>
            </w:pPr>
            <w:r w:rsidRPr="002775DA">
              <w:rPr>
                <w:rFonts w:ascii="Calibri" w:hAnsi="Calibri"/>
                <w:b/>
                <w:color w:val="000000" w:themeColor="text1"/>
              </w:rPr>
              <w:t>11 – 18</w:t>
            </w:r>
          </w:p>
        </w:tc>
        <w:tc>
          <w:tcPr>
            <w:tcW w:w="2160" w:type="dxa"/>
            <w:shd w:val="clear" w:color="auto" w:fill="F9FAFC"/>
            <w:tcMar>
              <w:top w:w="80" w:type="dxa"/>
              <w:left w:w="120" w:type="dxa"/>
              <w:bottom w:w="80" w:type="dxa"/>
              <w:right w:w="120" w:type="dxa"/>
            </w:tcMar>
          </w:tcPr>
          <w:p w14:paraId="6BC31AD9" w14:textId="77777777" w:rsidR="00B506C7" w:rsidRPr="002775DA" w:rsidRDefault="00B506C7" w:rsidP="00351680">
            <w:pPr>
              <w:rPr>
                <w:color w:val="000000" w:themeColor="text1"/>
              </w:rPr>
            </w:pPr>
            <w:r w:rsidRPr="002775DA">
              <w:rPr>
                <w:rFonts w:ascii="Calibri" w:hAnsi="Calibri"/>
                <w:b/>
                <w:color w:val="000000" w:themeColor="text1"/>
              </w:rPr>
              <w:t>Tier 1: Servicing Local</w:t>
            </w:r>
          </w:p>
        </w:tc>
        <w:tc>
          <w:tcPr>
            <w:tcW w:w="2592" w:type="dxa"/>
            <w:shd w:val="clear" w:color="auto" w:fill="F9FAFC"/>
            <w:tcMar>
              <w:top w:w="80" w:type="dxa"/>
              <w:left w:w="120" w:type="dxa"/>
              <w:bottom w:w="80" w:type="dxa"/>
              <w:right w:w="120" w:type="dxa"/>
            </w:tcMar>
          </w:tcPr>
          <w:p w14:paraId="36E9E786" w14:textId="77777777" w:rsidR="00B506C7" w:rsidRPr="002775DA" w:rsidRDefault="00B506C7" w:rsidP="00351680">
            <w:pPr>
              <w:rPr>
                <w:color w:val="000000" w:themeColor="text1"/>
              </w:rPr>
            </w:pPr>
            <w:r w:rsidRPr="002775DA">
              <w:rPr>
                <w:rFonts w:ascii="Calibri" w:hAnsi="Calibri"/>
                <w:color w:val="000000" w:themeColor="text1"/>
              </w:rPr>
              <w:t xml:space="preserve">Reactive / Third-Party Servicing </w:t>
            </w:r>
          </w:p>
        </w:tc>
        <w:tc>
          <w:tcPr>
            <w:tcW w:w="3600" w:type="dxa"/>
            <w:shd w:val="clear" w:color="auto" w:fill="F9FAFC"/>
            <w:tcMar>
              <w:top w:w="80" w:type="dxa"/>
              <w:left w:w="120" w:type="dxa"/>
              <w:bottom w:w="80" w:type="dxa"/>
              <w:right w:w="120" w:type="dxa"/>
            </w:tcMar>
          </w:tcPr>
          <w:p w14:paraId="4663E0B6" w14:textId="6B94940A" w:rsidR="00B506C7" w:rsidRPr="002775DA" w:rsidRDefault="00B506C7" w:rsidP="00351680">
            <w:pPr>
              <w:rPr>
                <w:color w:val="000000" w:themeColor="text1"/>
              </w:rPr>
            </w:pPr>
            <w:r w:rsidRPr="002775DA">
              <w:rPr>
                <w:rFonts w:ascii="Calibri" w:hAnsi="Calibri"/>
                <w:color w:val="000000" w:themeColor="text1"/>
              </w:rPr>
              <w:t>Rebuild steward/</w:t>
            </w:r>
            <w:r>
              <w:rPr>
                <w:rFonts w:ascii="Calibri" w:hAnsi="Calibri"/>
                <w:color w:val="000000" w:themeColor="text1"/>
              </w:rPr>
              <w:t xml:space="preserve">Member </w:t>
            </w:r>
            <w:r w:rsidRPr="002775DA">
              <w:rPr>
                <w:rFonts w:ascii="Calibri" w:hAnsi="Calibri"/>
                <w:color w:val="000000" w:themeColor="text1"/>
              </w:rPr>
              <w:t>network</w:t>
            </w:r>
            <w:r>
              <w:rPr>
                <w:rFonts w:ascii="Calibri" w:hAnsi="Calibri"/>
                <w:color w:val="000000" w:themeColor="text1"/>
              </w:rPr>
              <w:t>s</w:t>
            </w:r>
            <w:r w:rsidRPr="002775DA">
              <w:rPr>
                <w:rFonts w:ascii="Calibri" w:hAnsi="Calibri"/>
                <w:color w:val="000000" w:themeColor="text1"/>
              </w:rPr>
              <w:t>; basic 1:1 training.</w:t>
            </w:r>
          </w:p>
        </w:tc>
      </w:tr>
      <w:tr w:rsidR="00B506C7" w:rsidRPr="002775DA" w14:paraId="716D3315" w14:textId="77777777" w:rsidTr="00351680">
        <w:trPr>
          <w:jc w:val="center"/>
        </w:trPr>
        <w:tc>
          <w:tcPr>
            <w:tcW w:w="1584" w:type="dxa"/>
            <w:shd w:val="clear" w:color="auto" w:fill="FFFFFF"/>
            <w:tcMar>
              <w:top w:w="80" w:type="dxa"/>
              <w:left w:w="120" w:type="dxa"/>
              <w:bottom w:w="80" w:type="dxa"/>
              <w:right w:w="120" w:type="dxa"/>
            </w:tcMar>
          </w:tcPr>
          <w:p w14:paraId="0F743CCE" w14:textId="77777777" w:rsidR="00B506C7" w:rsidRPr="002775DA" w:rsidRDefault="00B506C7" w:rsidP="00351680">
            <w:pPr>
              <w:rPr>
                <w:color w:val="000000" w:themeColor="text1"/>
              </w:rPr>
            </w:pPr>
            <w:r w:rsidRPr="002775DA">
              <w:rPr>
                <w:rFonts w:ascii="Calibri" w:hAnsi="Calibri"/>
                <w:b/>
                <w:color w:val="000000" w:themeColor="text1"/>
              </w:rPr>
              <w:t>19 – 27</w:t>
            </w:r>
          </w:p>
        </w:tc>
        <w:tc>
          <w:tcPr>
            <w:tcW w:w="2160" w:type="dxa"/>
            <w:shd w:val="clear" w:color="auto" w:fill="FFFFFF"/>
            <w:tcMar>
              <w:top w:w="80" w:type="dxa"/>
              <w:left w:w="120" w:type="dxa"/>
              <w:bottom w:w="80" w:type="dxa"/>
              <w:right w:w="120" w:type="dxa"/>
            </w:tcMar>
          </w:tcPr>
          <w:p w14:paraId="794D76A9" w14:textId="77777777" w:rsidR="00B506C7" w:rsidRPr="002775DA" w:rsidRDefault="00B506C7" w:rsidP="00351680">
            <w:pPr>
              <w:rPr>
                <w:color w:val="000000" w:themeColor="text1"/>
              </w:rPr>
            </w:pPr>
            <w:r w:rsidRPr="002775DA">
              <w:rPr>
                <w:rFonts w:ascii="Calibri" w:hAnsi="Calibri"/>
                <w:b/>
                <w:color w:val="000000" w:themeColor="text1"/>
              </w:rPr>
              <w:t>Tier 2: Emerging Local</w:t>
            </w:r>
          </w:p>
        </w:tc>
        <w:tc>
          <w:tcPr>
            <w:tcW w:w="2592" w:type="dxa"/>
            <w:shd w:val="clear" w:color="auto" w:fill="FFFFFF"/>
            <w:tcMar>
              <w:top w:w="80" w:type="dxa"/>
              <w:left w:w="120" w:type="dxa"/>
              <w:bottom w:w="80" w:type="dxa"/>
              <w:right w:w="120" w:type="dxa"/>
            </w:tcMar>
          </w:tcPr>
          <w:p w14:paraId="2BCE3635" w14:textId="77777777" w:rsidR="00B506C7" w:rsidRPr="002775DA" w:rsidRDefault="00B506C7" w:rsidP="00351680">
            <w:pPr>
              <w:rPr>
                <w:color w:val="000000" w:themeColor="text1"/>
              </w:rPr>
            </w:pPr>
            <w:r w:rsidRPr="002775DA">
              <w:rPr>
                <w:rFonts w:ascii="Calibri" w:hAnsi="Calibri"/>
                <w:color w:val="000000" w:themeColor="text1"/>
              </w:rPr>
              <w:t xml:space="preserve">Transitioning / Hybrid Model </w:t>
            </w:r>
          </w:p>
        </w:tc>
        <w:tc>
          <w:tcPr>
            <w:tcW w:w="3600" w:type="dxa"/>
            <w:shd w:val="clear" w:color="auto" w:fill="FFFFFF"/>
            <w:tcMar>
              <w:top w:w="80" w:type="dxa"/>
              <w:left w:w="120" w:type="dxa"/>
              <w:bottom w:w="80" w:type="dxa"/>
              <w:right w:w="120" w:type="dxa"/>
            </w:tcMar>
          </w:tcPr>
          <w:p w14:paraId="2102546A" w14:textId="3E00330D" w:rsidR="00B506C7" w:rsidRPr="002775DA" w:rsidRDefault="00B506C7" w:rsidP="00351680">
            <w:pPr>
              <w:rPr>
                <w:color w:val="000000" w:themeColor="text1"/>
              </w:rPr>
            </w:pPr>
            <w:r w:rsidRPr="002775DA">
              <w:rPr>
                <w:rFonts w:ascii="Calibri" w:hAnsi="Calibri"/>
                <w:color w:val="000000" w:themeColor="text1"/>
              </w:rPr>
              <w:t>Implement wall-charts; launch basic structure tests.</w:t>
            </w:r>
          </w:p>
        </w:tc>
      </w:tr>
      <w:tr w:rsidR="00B506C7" w:rsidRPr="002775DA" w14:paraId="64D7F129" w14:textId="77777777" w:rsidTr="00351680">
        <w:trPr>
          <w:jc w:val="center"/>
        </w:trPr>
        <w:tc>
          <w:tcPr>
            <w:tcW w:w="1584" w:type="dxa"/>
            <w:shd w:val="clear" w:color="auto" w:fill="F9FAFC"/>
            <w:tcMar>
              <w:top w:w="80" w:type="dxa"/>
              <w:left w:w="120" w:type="dxa"/>
              <w:bottom w:w="80" w:type="dxa"/>
              <w:right w:w="120" w:type="dxa"/>
            </w:tcMar>
          </w:tcPr>
          <w:p w14:paraId="054D9EE6" w14:textId="77777777" w:rsidR="00B506C7" w:rsidRPr="002775DA" w:rsidRDefault="00B506C7" w:rsidP="00351680">
            <w:pPr>
              <w:rPr>
                <w:color w:val="000000" w:themeColor="text1"/>
              </w:rPr>
            </w:pPr>
            <w:r w:rsidRPr="002775DA">
              <w:rPr>
                <w:rFonts w:ascii="Calibri" w:hAnsi="Calibri"/>
                <w:b/>
                <w:color w:val="000000" w:themeColor="text1"/>
              </w:rPr>
              <w:t>28 – 36</w:t>
            </w:r>
          </w:p>
        </w:tc>
        <w:tc>
          <w:tcPr>
            <w:tcW w:w="2160" w:type="dxa"/>
            <w:shd w:val="clear" w:color="auto" w:fill="F9FAFC"/>
            <w:tcMar>
              <w:top w:w="80" w:type="dxa"/>
              <w:left w:w="120" w:type="dxa"/>
              <w:bottom w:w="80" w:type="dxa"/>
              <w:right w:w="120" w:type="dxa"/>
            </w:tcMar>
          </w:tcPr>
          <w:p w14:paraId="0DD5912F" w14:textId="77777777" w:rsidR="00B506C7" w:rsidRPr="002775DA" w:rsidRDefault="00B506C7" w:rsidP="00351680">
            <w:pPr>
              <w:rPr>
                <w:color w:val="000000" w:themeColor="text1"/>
              </w:rPr>
            </w:pPr>
            <w:r w:rsidRPr="002775DA">
              <w:rPr>
                <w:rFonts w:ascii="Calibri" w:hAnsi="Calibri"/>
                <w:b/>
                <w:color w:val="000000" w:themeColor="text1"/>
              </w:rPr>
              <w:t>Tier 3: Growing Local</w:t>
            </w:r>
          </w:p>
        </w:tc>
        <w:tc>
          <w:tcPr>
            <w:tcW w:w="2592" w:type="dxa"/>
            <w:shd w:val="clear" w:color="auto" w:fill="F9FAFC"/>
            <w:tcMar>
              <w:top w:w="80" w:type="dxa"/>
              <w:left w:w="120" w:type="dxa"/>
              <w:bottom w:w="80" w:type="dxa"/>
              <w:right w:w="120" w:type="dxa"/>
            </w:tcMar>
          </w:tcPr>
          <w:p w14:paraId="552F7152" w14:textId="77777777" w:rsidR="00B506C7" w:rsidRPr="002775DA" w:rsidRDefault="00B506C7" w:rsidP="00351680">
            <w:pPr>
              <w:rPr>
                <w:color w:val="000000" w:themeColor="text1"/>
              </w:rPr>
            </w:pPr>
            <w:r w:rsidRPr="002775DA">
              <w:rPr>
                <w:rFonts w:ascii="Calibri" w:hAnsi="Calibri"/>
                <w:color w:val="000000" w:themeColor="text1"/>
              </w:rPr>
              <w:t xml:space="preserve">Organizing / Member-Driven </w:t>
            </w:r>
          </w:p>
        </w:tc>
        <w:tc>
          <w:tcPr>
            <w:tcW w:w="3600" w:type="dxa"/>
            <w:shd w:val="clear" w:color="auto" w:fill="F9FAFC"/>
            <w:tcMar>
              <w:top w:w="80" w:type="dxa"/>
              <w:left w:w="120" w:type="dxa"/>
              <w:bottom w:w="80" w:type="dxa"/>
              <w:right w:w="120" w:type="dxa"/>
            </w:tcMar>
          </w:tcPr>
          <w:p w14:paraId="181B27F0" w14:textId="28B35776" w:rsidR="00B506C7" w:rsidRPr="002775DA" w:rsidRDefault="00B506C7" w:rsidP="00351680">
            <w:pPr>
              <w:rPr>
                <w:color w:val="000000" w:themeColor="text1"/>
              </w:rPr>
            </w:pPr>
            <w:r w:rsidRPr="002775DA">
              <w:rPr>
                <w:rFonts w:ascii="Calibri" w:hAnsi="Calibri"/>
                <w:color w:val="000000" w:themeColor="text1"/>
              </w:rPr>
              <w:t>Decentralize training; build rapid community defense.</w:t>
            </w:r>
          </w:p>
        </w:tc>
      </w:tr>
      <w:tr w:rsidR="00B506C7" w:rsidRPr="002775DA" w14:paraId="683B860D" w14:textId="77777777" w:rsidTr="00351680">
        <w:trPr>
          <w:jc w:val="center"/>
        </w:trPr>
        <w:tc>
          <w:tcPr>
            <w:tcW w:w="1584" w:type="dxa"/>
            <w:shd w:val="clear" w:color="auto" w:fill="FFFFFF"/>
            <w:tcMar>
              <w:top w:w="80" w:type="dxa"/>
              <w:left w:w="120" w:type="dxa"/>
              <w:bottom w:w="80" w:type="dxa"/>
              <w:right w:w="120" w:type="dxa"/>
            </w:tcMar>
          </w:tcPr>
          <w:p w14:paraId="4B4B9CF7" w14:textId="77777777" w:rsidR="00B506C7" w:rsidRPr="002775DA" w:rsidRDefault="00B506C7" w:rsidP="00351680">
            <w:pPr>
              <w:rPr>
                <w:color w:val="000000" w:themeColor="text1"/>
              </w:rPr>
            </w:pPr>
            <w:r w:rsidRPr="002775DA">
              <w:rPr>
                <w:rFonts w:ascii="Calibri" w:hAnsi="Calibri"/>
                <w:b/>
                <w:color w:val="000000" w:themeColor="text1"/>
              </w:rPr>
              <w:t>37 – 44</w:t>
            </w:r>
          </w:p>
        </w:tc>
        <w:tc>
          <w:tcPr>
            <w:tcW w:w="2160" w:type="dxa"/>
            <w:shd w:val="clear" w:color="auto" w:fill="FFFFFF"/>
            <w:tcMar>
              <w:top w:w="80" w:type="dxa"/>
              <w:left w:w="120" w:type="dxa"/>
              <w:bottom w:w="80" w:type="dxa"/>
              <w:right w:w="120" w:type="dxa"/>
            </w:tcMar>
          </w:tcPr>
          <w:p w14:paraId="2ED19F3A" w14:textId="77777777" w:rsidR="00B506C7" w:rsidRPr="002775DA" w:rsidRDefault="00B506C7" w:rsidP="00351680">
            <w:pPr>
              <w:rPr>
                <w:color w:val="000000" w:themeColor="text1"/>
              </w:rPr>
            </w:pPr>
            <w:r w:rsidRPr="002775DA">
              <w:rPr>
                <w:rFonts w:ascii="Calibri" w:hAnsi="Calibri"/>
                <w:b/>
                <w:color w:val="000000" w:themeColor="text1"/>
              </w:rPr>
              <w:t>Tier 4: High Participation Local</w:t>
            </w:r>
          </w:p>
        </w:tc>
        <w:tc>
          <w:tcPr>
            <w:tcW w:w="2592" w:type="dxa"/>
            <w:shd w:val="clear" w:color="auto" w:fill="FFFFFF"/>
            <w:tcMar>
              <w:top w:w="80" w:type="dxa"/>
              <w:left w:w="120" w:type="dxa"/>
              <w:bottom w:w="80" w:type="dxa"/>
              <w:right w:w="120" w:type="dxa"/>
            </w:tcMar>
          </w:tcPr>
          <w:p w14:paraId="3AD63256" w14:textId="77777777" w:rsidR="00B506C7" w:rsidRPr="002775DA" w:rsidRDefault="00B506C7" w:rsidP="00351680">
            <w:pPr>
              <w:rPr>
                <w:color w:val="000000" w:themeColor="text1"/>
              </w:rPr>
            </w:pPr>
            <w:r w:rsidRPr="002775DA">
              <w:rPr>
                <w:rFonts w:ascii="Calibri" w:hAnsi="Calibri"/>
                <w:color w:val="000000" w:themeColor="text1"/>
              </w:rPr>
              <w:t xml:space="preserve">Supermajority Power Engine </w:t>
            </w:r>
          </w:p>
        </w:tc>
        <w:tc>
          <w:tcPr>
            <w:tcW w:w="3600" w:type="dxa"/>
            <w:shd w:val="clear" w:color="auto" w:fill="FFFFFF"/>
            <w:tcMar>
              <w:top w:w="80" w:type="dxa"/>
              <w:left w:w="120" w:type="dxa"/>
              <w:bottom w:w="80" w:type="dxa"/>
              <w:right w:w="120" w:type="dxa"/>
            </w:tcMar>
          </w:tcPr>
          <w:p w14:paraId="4655E4E9" w14:textId="73BE6C9C" w:rsidR="00B506C7" w:rsidRPr="002775DA" w:rsidRDefault="00B506C7" w:rsidP="00351680">
            <w:pPr>
              <w:rPr>
                <w:color w:val="000000" w:themeColor="text1"/>
              </w:rPr>
            </w:pPr>
            <w:r w:rsidRPr="002775DA">
              <w:rPr>
                <w:rFonts w:ascii="Calibri" w:hAnsi="Calibri"/>
                <w:color w:val="000000" w:themeColor="text1"/>
              </w:rPr>
              <w:t>Sustain choir pacing; guard strategic roadmap.</w:t>
            </w:r>
          </w:p>
        </w:tc>
      </w:tr>
    </w:tbl>
    <w:p w14:paraId="70706876" w14:textId="77777777" w:rsidR="007639DA" w:rsidRPr="00965FEB" w:rsidRDefault="007639DA" w:rsidP="00B506C7">
      <w:pPr>
        <w:pStyle w:val="Heading1"/>
        <w:spacing w:before="0" w:after="0"/>
        <w:rPr>
          <w:rFonts w:asciiTheme="majorHAnsi" w:hAnsiTheme="majorHAnsi" w:cstheme="majorHAnsi"/>
          <w:color w:val="000000" w:themeColor="text1"/>
          <w:sz w:val="24"/>
          <w:szCs w:val="24"/>
        </w:rPr>
      </w:pPr>
    </w:p>
    <w:sectPr w:rsidR="007639DA" w:rsidRPr="00965FEB" w:rsidSect="00965FEB">
      <w:pgSz w:w="12240" w:h="15840"/>
      <w:pgMar w:top="1008" w:right="1008" w:bottom="1008" w:left="1008"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w:charset w:val="00"/>
    <w:family w:val="auto"/>
    <w:pitch w:val="default"/>
    <w:embedRegular r:id="rId1" w:fontKey="{EF25A3BB-B535-4035-BBCC-57477214FBB0}"/>
    <w:embedBold r:id="rId2" w:fontKey="{3668E820-0421-469D-98A2-931086E585B0}"/>
    <w:embedItalic r:id="rId3" w:fontKey="{F7BD9AE2-A988-41F9-8F0D-84995CCE0127}"/>
  </w:font>
  <w:font w:name="Montserrat">
    <w:charset w:val="00"/>
    <w:family w:val="auto"/>
    <w:pitch w:val="variable"/>
    <w:sig w:usb0="2000020F" w:usb1="00000003" w:usb2="00000000" w:usb3="00000000" w:csb0="00000197" w:csb1="00000000"/>
    <w:embedRegular r:id="rId4" w:fontKey="{9DC34EDA-74CD-4065-845E-295AEAE372DA}"/>
    <w:embedBold r:id="rId5" w:fontKey="{DF3088D3-5EA8-4931-B200-DF297FCC4148}"/>
  </w:font>
  <w:font w:name="Calibri">
    <w:panose1 w:val="020F0502020204030204"/>
    <w:charset w:val="00"/>
    <w:family w:val="swiss"/>
    <w:pitch w:val="variable"/>
    <w:sig w:usb0="E4002EFF" w:usb1="C200247B" w:usb2="00000009" w:usb3="00000000" w:csb0="000001FF" w:csb1="00000000"/>
    <w:embedRegular r:id="rId6" w:fontKey="{A3592A0A-6336-45EF-B53A-52FFB39F7E08}"/>
    <w:embedBold r:id="rId7" w:fontKey="{C78C4523-646C-4BE7-B412-A2579CFFCCA3}"/>
  </w:font>
  <w:font w:name="Cambria">
    <w:panose1 w:val="02040503050406030204"/>
    <w:charset w:val="00"/>
    <w:family w:val="roman"/>
    <w:pitch w:val="variable"/>
    <w:sig w:usb0="E00006FF" w:usb1="420024FF" w:usb2="02000000" w:usb3="00000000" w:csb0="0000019F" w:csb1="00000000"/>
    <w:embedRegular r:id="rId8" w:fontKey="{D36FD88F-2AB2-4829-A7E4-7E6000D9F52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A0B2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350778B"/>
    <w:multiLevelType w:val="multilevel"/>
    <w:tmpl w:val="2A0A50AE"/>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686254429">
    <w:abstractNumId w:val="1"/>
  </w:num>
  <w:num w:numId="2" w16cid:durableId="1762408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9DA"/>
    <w:rsid w:val="007401A0"/>
    <w:rsid w:val="007639DA"/>
    <w:rsid w:val="00965FEB"/>
    <w:rsid w:val="00A817E5"/>
    <w:rsid w:val="00B506C7"/>
    <w:rsid w:val="00D46AF7"/>
    <w:rsid w:val="00F23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67F5"/>
  <w15:docId w15:val="{1C2AA0F7-5F88-4B9B-9DA1-7F8A4CDA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exend" w:eastAsia="Lexend" w:hAnsi="Lexend" w:cs="Lexend"/>
        <w:color w:val="37474F"/>
        <w:sz w:val="24"/>
        <w:szCs w:val="24"/>
        <w:lang w:val="en"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line="288" w:lineRule="auto"/>
      <w:outlineLvl w:val="0"/>
    </w:pPr>
    <w:rPr>
      <w:rFonts w:ascii="Montserrat" w:eastAsia="Montserrat" w:hAnsi="Montserrat" w:cs="Montserrat"/>
      <w:b/>
      <w:bCs/>
      <w:color w:val="1A237E"/>
      <w:sz w:val="36"/>
      <w:szCs w:val="36"/>
    </w:rPr>
  </w:style>
  <w:style w:type="paragraph" w:styleId="Heading2">
    <w:name w:val="heading 2"/>
    <w:basedOn w:val="Normal"/>
    <w:next w:val="Normal"/>
    <w:uiPriority w:val="9"/>
    <w:unhideWhenUsed/>
    <w:qFormat/>
    <w:pPr>
      <w:keepNext/>
      <w:keepLines/>
      <w:spacing w:before="360" w:after="80" w:line="288" w:lineRule="auto"/>
      <w:outlineLvl w:val="1"/>
    </w:pPr>
    <w:rPr>
      <w:rFonts w:ascii="Montserrat" w:eastAsia="Montserrat" w:hAnsi="Montserrat" w:cs="Montserrat"/>
      <w:b/>
      <w:bCs/>
      <w:color w:val="283593"/>
      <w:sz w:val="28"/>
      <w:szCs w:val="28"/>
    </w:rPr>
  </w:style>
  <w:style w:type="paragraph" w:styleId="Heading3">
    <w:name w:val="heading 3"/>
    <w:basedOn w:val="Normal"/>
    <w:next w:val="Normal"/>
    <w:uiPriority w:val="9"/>
    <w:semiHidden/>
    <w:unhideWhenUsed/>
    <w:qFormat/>
    <w:pPr>
      <w:keepNext/>
      <w:keepLines/>
      <w:spacing w:before="280" w:after="80" w:line="288" w:lineRule="auto"/>
      <w:outlineLvl w:val="2"/>
    </w:pPr>
    <w:rPr>
      <w:rFonts w:ascii="Montserrat" w:eastAsia="Montserrat" w:hAnsi="Montserrat" w:cs="Montserrat"/>
      <w:b/>
      <w:bCs/>
      <w:color w:val="3949AB"/>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line="240" w:lineRule="auto"/>
    </w:pPr>
    <w:rPr>
      <w:rFonts w:ascii="Montserrat" w:eastAsia="Montserrat" w:hAnsi="Montserrat" w:cs="Montserrat"/>
      <w:b/>
      <w:bCs/>
      <w:color w:val="1A237E"/>
      <w:sz w:val="44"/>
      <w:szCs w:val="44"/>
    </w:rPr>
  </w:style>
  <w:style w:type="paragraph" w:styleId="Subtitle">
    <w:name w:val="Subtitle"/>
    <w:basedOn w:val="Normal"/>
    <w:next w:val="Normal"/>
    <w:uiPriority w:val="11"/>
    <w:qFormat/>
    <w:pPr>
      <w:keepNext/>
      <w:keepLines/>
      <w:spacing w:before="360" w:after="80" w:line="288" w:lineRule="auto"/>
    </w:pPr>
    <w:rPr>
      <w:i/>
      <w:iCs/>
      <w:color w:val="546E7A"/>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160" w:type="dxa"/>
        <w:left w:w="200" w:type="dxa"/>
        <w:bottom w:w="160" w:type="dxa"/>
        <w:right w:w="200" w:type="dxa"/>
      </w:tblCellMar>
    </w:tblPr>
    <w:tcPr>
      <w:shd w:val="clear" w:color="auto" w:fill="FFFFFF"/>
      <w:vAlign w:val="center"/>
    </w:tcPr>
    <w:tblStylePr w:type="firstRow">
      <w:rPr>
        <w:rFonts w:ascii="Montserrat" w:eastAsia="Montserrat" w:hAnsi="Montserrat" w:cs="Montserrat"/>
        <w:b/>
        <w:bCs/>
        <w:i w:val="0"/>
        <w:iCs w:val="0"/>
        <w:color w:val="1A237E"/>
        <w:sz w:val="24"/>
        <w:szCs w:val="24"/>
      </w:rPr>
      <w:tblPr/>
      <w:tcPr>
        <w:shd w:val="clear" w:color="auto" w:fill="F5F7FA"/>
        <w:vAlign w:val="center"/>
      </w:tcPr>
    </w:tblStylePr>
  </w:style>
  <w:style w:type="paragraph" w:styleId="ListBullet">
    <w:name w:val="List Bullet"/>
    <w:basedOn w:val="Normal"/>
    <w:uiPriority w:val="99"/>
    <w:unhideWhenUsed/>
    <w:rsid w:val="00B506C7"/>
    <w:pPr>
      <w:numPr>
        <w:numId w:val="2"/>
      </w:numPr>
      <w:tabs>
        <w:tab w:val="clear" w:pos="360"/>
      </w:tabs>
      <w:spacing w:after="200" w:line="276" w:lineRule="auto"/>
      <w:ind w:left="0" w:firstLine="0"/>
      <w:contextualSpacing/>
    </w:pPr>
    <w:rPr>
      <w:rFonts w:ascii="Calibri" w:eastAsiaTheme="minorEastAsia" w:hAnsi="Calibri" w:cstheme="minorBidi"/>
      <w:color w:val="333333"/>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9C4AF6-F74A-42FA-926A-11EAD249EC0A}">
  <ds:schemaRefs>
    <ds:schemaRef ds:uri="http://schemas.microsoft.com/sharepoint/v3/contenttype/forms"/>
  </ds:schemaRefs>
</ds:datastoreItem>
</file>

<file path=customXml/itemProps2.xml><?xml version="1.0" encoding="utf-8"?>
<ds:datastoreItem xmlns:ds="http://schemas.openxmlformats.org/officeDocument/2006/customXml" ds:itemID="{AF69EED0-D780-47F1-8963-ABDE719F544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D4B5F4B0-4BE5-4BE9-BA52-EDA47DF03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Holmes, Ellen [NEA]</cp:lastModifiedBy>
  <cp:revision>3</cp:revision>
  <dcterms:created xsi:type="dcterms:W3CDTF">2026-09-17T20:21:00Z</dcterms:created>
  <dcterms:modified xsi:type="dcterms:W3CDTF">2026-09-17T21:18:00Z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