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9EDB" w14:textId="7F2AC18A" w:rsidR="00CB5FC8" w:rsidRPr="00CB5FC8" w:rsidRDefault="00451F33" w:rsidP="00CB5FC8">
      <w:pPr>
        <w:spacing w:after="80"/>
        <w:rPr>
          <w:b/>
          <w:color w:val="000000" w:themeColor="text1"/>
          <w:sz w:val="36"/>
          <w:szCs w:val="36"/>
        </w:rPr>
      </w:pPr>
      <w:r w:rsidRPr="00CB5FC8">
        <w:rPr>
          <w:b/>
          <w:color w:val="000000" w:themeColor="text1"/>
          <w:sz w:val="36"/>
          <w:szCs w:val="36"/>
        </w:rPr>
        <w:t>High Participation Locals</w:t>
      </w:r>
      <w:r w:rsidR="00CB5FC8" w:rsidRPr="00CB5FC8">
        <w:rPr>
          <w:b/>
          <w:color w:val="000000" w:themeColor="text1"/>
          <w:sz w:val="36"/>
          <w:szCs w:val="36"/>
        </w:rPr>
        <w:t xml:space="preserve"> Overview</w:t>
      </w:r>
    </w:p>
    <w:p w14:paraId="39E6F45C" w14:textId="78E32D1D" w:rsidR="0059149C" w:rsidRPr="00CB5FC8" w:rsidRDefault="00451F33" w:rsidP="00CB5FC8">
      <w:pPr>
        <w:spacing w:after="80"/>
        <w:rPr>
          <w:color w:val="000000" w:themeColor="text1"/>
          <w:sz w:val="24"/>
          <w:szCs w:val="24"/>
        </w:rPr>
      </w:pPr>
      <w:r w:rsidRPr="00CB5FC8">
        <w:rPr>
          <w:b/>
          <w:color w:val="000000" w:themeColor="text1"/>
          <w:sz w:val="24"/>
          <w:szCs w:val="24"/>
        </w:rPr>
        <w:t>Definition and Core Foundation</w:t>
      </w:r>
    </w:p>
    <w:p w14:paraId="6C394802" w14:textId="77777777" w:rsidR="0059149C" w:rsidRPr="00CB5FC8" w:rsidRDefault="00451F33">
      <w:pPr>
        <w:rPr>
          <w:color w:val="000000" w:themeColor="text1"/>
          <w:sz w:val="24"/>
          <w:szCs w:val="24"/>
        </w:rPr>
      </w:pPr>
      <w:r w:rsidRPr="00CB5FC8">
        <w:rPr>
          <w:color w:val="000000" w:themeColor="text1"/>
          <w:sz w:val="24"/>
          <w:szCs w:val="24"/>
        </w:rPr>
        <w:t>High Participation Locals are unions where leadership, responsibility, organizing skills, and decision-making are broadly distributed throughout the membership rather than concentrated in a small group of officers, staff, or activists. Moving a local from a passive "servicing model" to a member-led "organizing model" is a technical craft that restructures governance, staff roles, data systems, and campaign execution.</w:t>
      </w:r>
    </w:p>
    <w:p w14:paraId="6C8C65B7" w14:textId="77777777" w:rsidR="0059149C" w:rsidRPr="00CB5FC8" w:rsidRDefault="00451F33">
      <w:pPr>
        <w:rPr>
          <w:color w:val="000000" w:themeColor="text1"/>
          <w:sz w:val="24"/>
          <w:szCs w:val="24"/>
        </w:rPr>
      </w:pPr>
      <w:r w:rsidRPr="00CB5FC8">
        <w:rPr>
          <w:color w:val="000000" w:themeColor="text1"/>
          <w:sz w:val="24"/>
          <w:szCs w:val="24"/>
        </w:rPr>
        <w:t>Members are active participants in building, exercising, and sustaining collective power. Grounded in 11 core structural dimensions, a high-participation local intentionally centers equity as an everyday organizing practice—identifying and removing barriers to participation, developing diverse leadership, and ensuring all members shape the union's strategic roadmap.</w:t>
      </w:r>
    </w:p>
    <w:p w14:paraId="61271A62" w14:textId="77777777" w:rsidR="0059149C" w:rsidRPr="00CB5FC8" w:rsidRDefault="00451F33">
      <w:pPr>
        <w:spacing w:before="280" w:after="160"/>
        <w:rPr>
          <w:color w:val="000000" w:themeColor="text1"/>
          <w:sz w:val="24"/>
          <w:szCs w:val="24"/>
        </w:rPr>
      </w:pPr>
      <w:r w:rsidRPr="00CB5FC8">
        <w:rPr>
          <w:b/>
          <w:color w:val="000000" w:themeColor="text1"/>
          <w:sz w:val="24"/>
          <w:szCs w:val="24"/>
        </w:rPr>
        <w:t>The 11 Dimensions of a High-Participation Local</w:t>
      </w:r>
    </w:p>
    <w:p w14:paraId="342C1A03"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1. School Site Leaders &amp; Contract Action Teams: </w:t>
      </w:r>
      <w:r w:rsidRPr="00CB5FC8">
        <w:rPr>
          <w:color w:val="000000" w:themeColor="text1"/>
          <w:sz w:val="24"/>
          <w:szCs w:val="24"/>
        </w:rPr>
        <w:t xml:space="preserve">Empowered campus representatives operate with local authority ("building swagger") </w:t>
      </w:r>
      <w:proofErr w:type="gramStart"/>
      <w:r w:rsidRPr="00CB5FC8">
        <w:rPr>
          <w:color w:val="000000" w:themeColor="text1"/>
          <w:sz w:val="24"/>
          <w:szCs w:val="24"/>
        </w:rPr>
        <w:t>in</w:t>
      </w:r>
      <w:proofErr w:type="gramEnd"/>
      <w:r w:rsidRPr="00CB5FC8">
        <w:rPr>
          <w:color w:val="000000" w:themeColor="text1"/>
          <w:sz w:val="24"/>
          <w:szCs w:val="24"/>
        </w:rPr>
        <w:t xml:space="preserve"> every worksite. They resolve Level 1 grievances directly with principals, map campuses, manage 10-to-1 Contract Action Teams (CATs) or Site Organizing Squads, and lead building-level governing councils.</w:t>
      </w:r>
    </w:p>
    <w:p w14:paraId="1AEEBAF6"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2. The Union Staff Role: </w:t>
      </w:r>
      <w:r w:rsidRPr="00CB5FC8">
        <w:rPr>
          <w:color w:val="000000" w:themeColor="text1"/>
          <w:sz w:val="24"/>
          <w:szCs w:val="24"/>
        </w:rPr>
        <w:t>Union field staff transition from direct grievance handlers and transactional problem-solvers into strategic coaches, capacity builders, and organizers of synchronized campaigns.</w:t>
      </w:r>
    </w:p>
    <w:p w14:paraId="538728FC"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3. Valley Work (Non-Bargaining Lulls): </w:t>
      </w:r>
      <w:r w:rsidRPr="00CB5FC8">
        <w:rPr>
          <w:color w:val="000000" w:themeColor="text1"/>
          <w:sz w:val="24"/>
          <w:szCs w:val="24"/>
        </w:rPr>
        <w:t>Locals utilize off-contract "valleys" as critical windows to enforce contract terms, run continuous skill-building workshops, cultivate social camaraderie, and build durable community alliances before crises strike.</w:t>
      </w:r>
    </w:p>
    <w:p w14:paraId="033C3F8A"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4. Bargaining in High-Participation Locals: </w:t>
      </w:r>
      <w:r w:rsidRPr="00CB5FC8">
        <w:rPr>
          <w:color w:val="000000" w:themeColor="text1"/>
          <w:sz w:val="24"/>
          <w:szCs w:val="24"/>
        </w:rPr>
        <w:t>Collective bargaining is transformed into an active organizing campaign. Locals deploy massive, representative, and silent bargaining teams, reject media blackouts for radical transparency, and center demands on "common good" community issues.</w:t>
      </w:r>
    </w:p>
    <w:p w14:paraId="395E4B81"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5. Being a President of a High-Participation Local: </w:t>
      </w:r>
      <w:r w:rsidRPr="00CB5FC8">
        <w:rPr>
          <w:color w:val="000000" w:themeColor="text1"/>
          <w:sz w:val="24"/>
          <w:szCs w:val="24"/>
        </w:rPr>
        <w:t>Local presidents shift their focus from administrative crisis management to strategic coordination, geographic turf-walking, budget reallocation toward organizing capacity, and expanding multi-officer release teams.</w:t>
      </w:r>
    </w:p>
    <w:p w14:paraId="71835A72"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6. How High-Participation Locals Use Data to Build Power: </w:t>
      </w:r>
      <w:r w:rsidRPr="00CB5FC8">
        <w:rPr>
          <w:color w:val="000000" w:themeColor="text1"/>
          <w:sz w:val="24"/>
          <w:szCs w:val="24"/>
        </w:rPr>
        <w:t>Data management shifts from passive record-keeping to active campaign tracking. Locals decentralize data entry to site leaders, utilize mobile database systems (e.g., Action Builder, OrgDB) for digital wall-charting, and measure real-time engagement.</w:t>
      </w:r>
    </w:p>
    <w:p w14:paraId="5731BC4D"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7. How High-Participation Locals Train Their Members: </w:t>
      </w:r>
      <w:r w:rsidRPr="00CB5FC8">
        <w:rPr>
          <w:color w:val="000000" w:themeColor="text1"/>
          <w:sz w:val="24"/>
          <w:szCs w:val="24"/>
        </w:rPr>
        <w:t>Training relies on active organizing pedagogy, utilizing a "gradual release" model (moving from high-touch staff modeling to autonomous campaigns), the core "Skills to Win" curriculum, mobile site-based workshops, and intensive summer institutes.</w:t>
      </w:r>
    </w:p>
    <w:p w14:paraId="2A11BD9A"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lastRenderedPageBreak/>
        <w:t xml:space="preserve">8. Overcoming "Respectability Politics" and the Fear of Conflict: </w:t>
      </w:r>
      <w:r w:rsidRPr="00CB5FC8">
        <w:rPr>
          <w:color w:val="000000" w:themeColor="text1"/>
          <w:sz w:val="24"/>
          <w:szCs w:val="24"/>
        </w:rPr>
        <w:t>Leaders help members overcome the socialized aversion to conflict by rejecting quiet backroom handshakes and symbolic "moral victories" in favor of visible, majoritarian site actions that command real leverage.</w:t>
      </w:r>
    </w:p>
    <w:p w14:paraId="05A37871"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9. Defensive Organizing &amp; Anti-Authoritarian Protection: </w:t>
      </w:r>
      <w:r w:rsidRPr="00CB5FC8">
        <w:rPr>
          <w:color w:val="000000" w:themeColor="text1"/>
          <w:sz w:val="24"/>
          <w:szCs w:val="24"/>
        </w:rPr>
        <w:t>Permanent site-level communication trees and strike machinery are repurposed for rapid-response community defense, including ICE defense, protecting LGBTQ+ youth, and election protection.</w:t>
      </w:r>
    </w:p>
    <w:p w14:paraId="6B504311"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10. The Strategic Plan—Guarding the Roadmap and Building Coherence: </w:t>
      </w:r>
      <w:r w:rsidRPr="00CB5FC8">
        <w:rPr>
          <w:color w:val="000000" w:themeColor="text1"/>
          <w:sz w:val="24"/>
          <w:szCs w:val="24"/>
        </w:rPr>
        <w:t>Unions eliminate reactive firefighting by co-creating a unified strategic plan. The president acts as gatekeeper to align all committees, budgets, and worksite visits around shared organizing goals.</w:t>
      </w:r>
    </w:p>
    <w:p w14:paraId="0129CFFA" w14:textId="77777777" w:rsidR="0059149C" w:rsidRPr="00CB5FC8" w:rsidRDefault="00451F33" w:rsidP="00CB5FC8">
      <w:pPr>
        <w:spacing w:before="60" w:after="80"/>
        <w:ind w:left="720"/>
        <w:rPr>
          <w:color w:val="000000" w:themeColor="text1"/>
          <w:sz w:val="24"/>
          <w:szCs w:val="24"/>
        </w:rPr>
      </w:pPr>
      <w:r w:rsidRPr="00CB5FC8">
        <w:rPr>
          <w:b/>
          <w:color w:val="000000" w:themeColor="text1"/>
          <w:sz w:val="24"/>
          <w:szCs w:val="24"/>
        </w:rPr>
        <w:t xml:space="preserve">11. Methodical Structure Tests: </w:t>
      </w:r>
      <w:r w:rsidRPr="00CB5FC8">
        <w:rPr>
          <w:color w:val="000000" w:themeColor="text1"/>
          <w:sz w:val="24"/>
          <w:szCs w:val="24"/>
        </w:rPr>
        <w:t>Unions deploy escalating, quantifiable workplace actions (e.g., hand petitions, button days, practice pickets, strike pledges) as mathematical "gates" to evaluate true member leverage and readiness before major campaign escalations.</w:t>
      </w:r>
    </w:p>
    <w:p w14:paraId="3C1C5368" w14:textId="77777777" w:rsidR="0059149C" w:rsidRPr="00CB5FC8" w:rsidRDefault="00451F33">
      <w:pPr>
        <w:spacing w:before="280" w:after="160"/>
        <w:rPr>
          <w:color w:val="000000" w:themeColor="text1"/>
          <w:sz w:val="24"/>
          <w:szCs w:val="24"/>
        </w:rPr>
      </w:pPr>
      <w:r w:rsidRPr="00CB5FC8">
        <w:rPr>
          <w:b/>
          <w:color w:val="000000" w:themeColor="text1"/>
          <w:sz w:val="24"/>
          <w:szCs w:val="24"/>
        </w:rPr>
        <w:t>Why High Participation Locals Matter Across the 11 Dimensions</w:t>
      </w:r>
    </w:p>
    <w:p w14:paraId="25B88F5B"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Sustainable Union Power: </w:t>
      </w:r>
      <w:r w:rsidRPr="00CB5FC8">
        <w:rPr>
          <w:color w:val="000000" w:themeColor="text1"/>
          <w:sz w:val="24"/>
          <w:szCs w:val="24"/>
        </w:rPr>
        <w:t>Distributing workload through a "choir model" of shared pacing prevents burnout, smooths leadership transitions, and ensures power never depends on a single officer or staff person.</w:t>
      </w:r>
    </w:p>
    <w:p w14:paraId="34605B71"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Increased Member Ownership: </w:t>
      </w:r>
      <w:r w:rsidRPr="00CB5FC8">
        <w:rPr>
          <w:color w:val="000000" w:themeColor="text1"/>
          <w:sz w:val="24"/>
          <w:szCs w:val="24"/>
        </w:rPr>
        <w:t xml:space="preserve">Members solve Level 1 workplace problems, chart campuses, and shape policy directly from assembly floors, transforming the union from an external service provider into an organization </w:t>
      </w:r>
      <w:proofErr w:type="gramStart"/>
      <w:r w:rsidRPr="00CB5FC8">
        <w:rPr>
          <w:color w:val="000000" w:themeColor="text1"/>
          <w:sz w:val="24"/>
          <w:szCs w:val="24"/>
        </w:rPr>
        <w:t>members</w:t>
      </w:r>
      <w:proofErr w:type="gramEnd"/>
      <w:r w:rsidRPr="00CB5FC8">
        <w:rPr>
          <w:color w:val="000000" w:themeColor="text1"/>
          <w:sz w:val="24"/>
          <w:szCs w:val="24"/>
        </w:rPr>
        <w:t xml:space="preserve"> run together.</w:t>
      </w:r>
    </w:p>
    <w:p w14:paraId="6FA0DF88"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Stronger Worksite Power: </w:t>
      </w:r>
      <w:r w:rsidRPr="00CB5FC8">
        <w:rPr>
          <w:color w:val="000000" w:themeColor="text1"/>
          <w:sz w:val="24"/>
          <w:szCs w:val="24"/>
        </w:rPr>
        <w:t>Functional 1:10 site structures (CATs, UBCs) allow issues to be identified early and resolved directly with administrators using collective site actions.</w:t>
      </w:r>
    </w:p>
    <w:p w14:paraId="09AC4A50"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Methodical Organizing Outcomes: </w:t>
      </w:r>
      <w:r w:rsidRPr="00CB5FC8">
        <w:rPr>
          <w:color w:val="000000" w:themeColor="text1"/>
          <w:sz w:val="24"/>
          <w:szCs w:val="24"/>
        </w:rPr>
        <w:t xml:space="preserve">Combining active data tracking with structured 1:1 organizing conversations (80/20 listening rule) enables supermajority density, organic leader identification, mobile </w:t>
      </w:r>
      <w:proofErr w:type="gramStart"/>
      <w:r w:rsidRPr="00CB5FC8">
        <w:rPr>
          <w:color w:val="000000" w:themeColor="text1"/>
          <w:sz w:val="24"/>
          <w:szCs w:val="24"/>
        </w:rPr>
        <w:t>trainings</w:t>
      </w:r>
      <w:proofErr w:type="gramEnd"/>
      <w:r w:rsidRPr="00CB5FC8">
        <w:rPr>
          <w:color w:val="000000" w:themeColor="text1"/>
          <w:sz w:val="24"/>
          <w:szCs w:val="24"/>
        </w:rPr>
        <w:t>, and self-directed, synchronized actions across sites.</w:t>
      </w:r>
    </w:p>
    <w:p w14:paraId="31AB93BD"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Democratized Bargaining and Advocacy: </w:t>
      </w:r>
      <w:r w:rsidRPr="00CB5FC8">
        <w:rPr>
          <w:color w:val="000000" w:themeColor="text1"/>
          <w:sz w:val="24"/>
          <w:szCs w:val="24"/>
        </w:rPr>
        <w:t>Open, representative bargaining teams and direct member updates backed by disciplined structure tests ensure locals command real leverage at the negotiating table.</w:t>
      </w:r>
    </w:p>
    <w:p w14:paraId="1E4F87BD"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Expanded Influence Beyond the Workplace: </w:t>
      </w:r>
      <w:r w:rsidRPr="00CB5FC8">
        <w:rPr>
          <w:color w:val="000000" w:themeColor="text1"/>
          <w:sz w:val="24"/>
          <w:szCs w:val="24"/>
        </w:rPr>
        <w:t>Permanent community-labor alliances built around "common good" demands create mutual trust, allowing worksite networks to rapidly mobilize for community defense.</w:t>
      </w:r>
    </w:p>
    <w:p w14:paraId="6C171B79" w14:textId="77777777" w:rsidR="0059149C" w:rsidRPr="00CB5FC8" w:rsidRDefault="00451F33">
      <w:pPr>
        <w:spacing w:before="280" w:after="160"/>
        <w:rPr>
          <w:color w:val="000000" w:themeColor="text1"/>
          <w:sz w:val="24"/>
          <w:szCs w:val="24"/>
        </w:rPr>
      </w:pPr>
      <w:r w:rsidRPr="00CB5FC8">
        <w:rPr>
          <w:b/>
          <w:color w:val="000000" w:themeColor="text1"/>
          <w:sz w:val="24"/>
          <w:szCs w:val="24"/>
        </w:rPr>
        <w:t>Core Beliefs of a High Participation Local</w:t>
      </w:r>
    </w:p>
    <w:p w14:paraId="4D85EB8A"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Success Metric: </w:t>
      </w:r>
      <w:r w:rsidRPr="00CB5FC8">
        <w:rPr>
          <w:color w:val="000000" w:themeColor="text1"/>
          <w:sz w:val="24"/>
          <w:szCs w:val="24"/>
        </w:rPr>
        <w:t>Measured by how many members are organized, developed, connected, mapped, and prepared to exercise collective power together—not by staff problem-solving volume.</w:t>
      </w:r>
    </w:p>
    <w:p w14:paraId="25A9ED45"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t xml:space="preserve">Equity &amp; Access: </w:t>
      </w:r>
      <w:r w:rsidRPr="00CB5FC8">
        <w:rPr>
          <w:color w:val="000000" w:themeColor="text1"/>
          <w:sz w:val="24"/>
          <w:szCs w:val="24"/>
        </w:rPr>
        <w:t>An everyday organizing methodology that systematically dismantles structural barriers to expand who participates, who leads, whose experiences are centered, and whose voices drive the strategic roadmap.</w:t>
      </w:r>
    </w:p>
    <w:p w14:paraId="03002545" w14:textId="77777777" w:rsidR="0059149C" w:rsidRPr="00CB5FC8" w:rsidRDefault="00451F33">
      <w:pPr>
        <w:pStyle w:val="ListBullet"/>
        <w:spacing w:before="40" w:after="60"/>
        <w:rPr>
          <w:color w:val="000000" w:themeColor="text1"/>
          <w:sz w:val="24"/>
          <w:szCs w:val="24"/>
        </w:rPr>
      </w:pPr>
      <w:r w:rsidRPr="00CB5FC8">
        <w:rPr>
          <w:b/>
          <w:color w:val="000000" w:themeColor="text1"/>
          <w:sz w:val="24"/>
          <w:szCs w:val="24"/>
        </w:rPr>
        <w:lastRenderedPageBreak/>
        <w:t xml:space="preserve">Action &amp; Leverage: </w:t>
      </w:r>
      <w:r w:rsidRPr="00CB5FC8">
        <w:rPr>
          <w:color w:val="000000" w:themeColor="text1"/>
          <w:sz w:val="24"/>
          <w:szCs w:val="24"/>
        </w:rPr>
        <w:t>Respectability politics and polite closed-door committee meetings are structural traps; real compliance occurs only when backed by majoritarian power and protected solidarity.</w:t>
      </w:r>
    </w:p>
    <w:p w14:paraId="37A27A32" w14:textId="77777777" w:rsidR="0059149C" w:rsidRPr="00CB5FC8" w:rsidRDefault="00451F33">
      <w:pPr>
        <w:spacing w:before="280" w:after="160"/>
        <w:rPr>
          <w:color w:val="000000" w:themeColor="text1"/>
          <w:sz w:val="24"/>
          <w:szCs w:val="24"/>
        </w:rPr>
      </w:pPr>
      <w:r w:rsidRPr="00CB5FC8">
        <w:rPr>
          <w:b/>
          <w:color w:val="000000" w:themeColor="text1"/>
          <w:sz w:val="24"/>
          <w:szCs w:val="24"/>
        </w:rPr>
        <w:t>The Four Essential Outcomes of a High Participation Local</w:t>
      </w:r>
    </w:p>
    <w:p w14:paraId="6F36977F" w14:textId="77777777" w:rsidR="0059149C" w:rsidRPr="00CB5FC8" w:rsidRDefault="00451F33">
      <w:pPr>
        <w:spacing w:before="60" w:after="80"/>
        <w:rPr>
          <w:color w:val="000000" w:themeColor="text1"/>
          <w:sz w:val="24"/>
          <w:szCs w:val="24"/>
        </w:rPr>
      </w:pPr>
      <w:r w:rsidRPr="00CB5FC8">
        <w:rPr>
          <w:b/>
          <w:color w:val="000000" w:themeColor="text1"/>
          <w:sz w:val="24"/>
          <w:szCs w:val="24"/>
        </w:rPr>
        <w:t xml:space="preserve">1. Supermajority Membership: </w:t>
      </w:r>
      <w:r w:rsidRPr="00CB5FC8">
        <w:rPr>
          <w:color w:val="000000" w:themeColor="text1"/>
          <w:sz w:val="24"/>
          <w:szCs w:val="24"/>
        </w:rPr>
        <w:t>Membership density reaches high thresholds (80%–90%+) reflecting every worksite, shift, department, and job classification across the bargaining unit.</w:t>
      </w:r>
    </w:p>
    <w:p w14:paraId="1C5ED0FC" w14:textId="77777777" w:rsidR="0059149C" w:rsidRPr="00CB5FC8" w:rsidRDefault="00451F33">
      <w:pPr>
        <w:spacing w:before="60" w:after="80"/>
        <w:rPr>
          <w:color w:val="000000" w:themeColor="text1"/>
          <w:sz w:val="24"/>
          <w:szCs w:val="24"/>
        </w:rPr>
      </w:pPr>
      <w:r w:rsidRPr="00CB5FC8">
        <w:rPr>
          <w:b/>
          <w:color w:val="000000" w:themeColor="text1"/>
          <w:sz w:val="24"/>
          <w:szCs w:val="24"/>
        </w:rPr>
        <w:t xml:space="preserve">2. Supermajority Participation: </w:t>
      </w:r>
      <w:r w:rsidRPr="00CB5FC8">
        <w:rPr>
          <w:color w:val="000000" w:themeColor="text1"/>
          <w:sz w:val="24"/>
          <w:szCs w:val="24"/>
        </w:rPr>
        <w:t xml:space="preserve">Members actively engage in 1:1 conversations, campaign actions, </w:t>
      </w:r>
      <w:proofErr w:type="gramStart"/>
      <w:r w:rsidRPr="00CB5FC8">
        <w:rPr>
          <w:color w:val="000000" w:themeColor="text1"/>
          <w:sz w:val="24"/>
          <w:szCs w:val="24"/>
        </w:rPr>
        <w:t>trainings</w:t>
      </w:r>
      <w:proofErr w:type="gramEnd"/>
      <w:r w:rsidRPr="00CB5FC8">
        <w:rPr>
          <w:color w:val="000000" w:themeColor="text1"/>
          <w:sz w:val="24"/>
          <w:szCs w:val="24"/>
        </w:rPr>
        <w:t>, and escalating structure tests verified through active data tracking.</w:t>
      </w:r>
    </w:p>
    <w:p w14:paraId="7C84121C" w14:textId="77777777" w:rsidR="0059149C" w:rsidRPr="00CB5FC8" w:rsidRDefault="00451F33">
      <w:pPr>
        <w:spacing w:before="60" w:after="80"/>
        <w:rPr>
          <w:color w:val="000000" w:themeColor="text1"/>
          <w:sz w:val="24"/>
          <w:szCs w:val="24"/>
        </w:rPr>
      </w:pPr>
      <w:r w:rsidRPr="00CB5FC8">
        <w:rPr>
          <w:b/>
          <w:color w:val="000000" w:themeColor="text1"/>
          <w:sz w:val="24"/>
          <w:szCs w:val="24"/>
        </w:rPr>
        <w:t xml:space="preserve">3. Leadership at Every Worksite: </w:t>
      </w:r>
      <w:r w:rsidRPr="00CB5FC8">
        <w:rPr>
          <w:color w:val="000000" w:themeColor="text1"/>
          <w:sz w:val="24"/>
          <w:szCs w:val="24"/>
        </w:rPr>
        <w:t>Campus representatives operate with authority ("building swagger") and confidence, managing 1:10 CAT trees and local governance bodies across all sites.</w:t>
      </w:r>
    </w:p>
    <w:p w14:paraId="71B7AFB5" w14:textId="77777777" w:rsidR="0059149C" w:rsidRPr="00CB5FC8" w:rsidRDefault="00451F33">
      <w:pPr>
        <w:spacing w:before="60" w:after="80"/>
        <w:rPr>
          <w:color w:val="000000" w:themeColor="text1"/>
          <w:sz w:val="24"/>
          <w:szCs w:val="24"/>
        </w:rPr>
      </w:pPr>
      <w:r w:rsidRPr="00CB5FC8">
        <w:rPr>
          <w:b/>
          <w:color w:val="000000" w:themeColor="text1"/>
          <w:sz w:val="24"/>
          <w:szCs w:val="24"/>
        </w:rPr>
        <w:t xml:space="preserve">4. Equitable Access to Power &amp; Participation: </w:t>
      </w:r>
      <w:r w:rsidRPr="00CB5FC8">
        <w:rPr>
          <w:color w:val="000000" w:themeColor="text1"/>
          <w:sz w:val="24"/>
          <w:szCs w:val="24"/>
        </w:rPr>
        <w:t>Structural barriers (meeting times, language, shift schedules) are systematically audited so all members have meaningful opportunities to contribute, lead, and shape the union's strategic roadmap.</w:t>
      </w:r>
    </w:p>
    <w:p w14:paraId="2EDCB68E" w14:textId="77777777" w:rsidR="0059149C" w:rsidRPr="00CB5FC8" w:rsidRDefault="0059149C">
      <w:pPr>
        <w:rPr>
          <w:color w:val="000000" w:themeColor="text1"/>
          <w:sz w:val="24"/>
          <w:szCs w:val="24"/>
        </w:rPr>
      </w:pPr>
    </w:p>
    <w:tbl>
      <w:tblPr>
        <w:tblW w:w="0" w:type="auto"/>
        <w:jc w:val="center"/>
        <w:tblLayout w:type="fixed"/>
        <w:tblLook w:val="04A0" w:firstRow="1" w:lastRow="0" w:firstColumn="1" w:lastColumn="0" w:noHBand="0" w:noVBand="1"/>
      </w:tblPr>
      <w:tblGrid>
        <w:gridCol w:w="9360"/>
      </w:tblGrid>
      <w:tr w:rsidR="0059149C" w:rsidRPr="00CB5FC8" w14:paraId="0C3DAADD" w14:textId="77777777" w:rsidTr="00CB5FC8">
        <w:trPr>
          <w:jc w:val="center"/>
        </w:trPr>
        <w:tc>
          <w:tcPr>
            <w:tcW w:w="9360" w:type="dxa"/>
            <w:shd w:val="clear" w:color="auto" w:fill="D9D9D9" w:themeFill="background1" w:themeFillShade="D9"/>
            <w:tcMar>
              <w:top w:w="140" w:type="dxa"/>
              <w:left w:w="200" w:type="dxa"/>
              <w:bottom w:w="140" w:type="dxa"/>
              <w:right w:w="200" w:type="dxa"/>
            </w:tcMar>
          </w:tcPr>
          <w:p w14:paraId="64542C8B" w14:textId="54909D69" w:rsidR="0059149C" w:rsidRPr="00CB5FC8" w:rsidRDefault="00451F33">
            <w:pPr>
              <w:spacing w:before="80" w:after="80"/>
              <w:rPr>
                <w:color w:val="000000" w:themeColor="text1"/>
                <w:sz w:val="24"/>
                <w:szCs w:val="24"/>
              </w:rPr>
            </w:pPr>
            <w:r w:rsidRPr="00CB5FC8">
              <w:rPr>
                <w:b/>
                <w:color w:val="000000" w:themeColor="text1"/>
                <w:sz w:val="24"/>
                <w:szCs w:val="24"/>
              </w:rPr>
              <w:t xml:space="preserve">Key Takeaway: </w:t>
            </w:r>
            <w:r w:rsidRPr="00CB5FC8">
              <w:rPr>
                <w:i/>
                <w:color w:val="000000" w:themeColor="text1"/>
                <w:sz w:val="24"/>
                <w:szCs w:val="24"/>
              </w:rPr>
              <w:t xml:space="preserve">A high-participation local builds power through </w:t>
            </w:r>
            <w:r w:rsidR="00CB5FC8">
              <w:rPr>
                <w:i/>
                <w:color w:val="000000" w:themeColor="text1"/>
                <w:sz w:val="24"/>
                <w:szCs w:val="24"/>
              </w:rPr>
              <w:t>supe-majority</w:t>
            </w:r>
            <w:r w:rsidRPr="00CB5FC8">
              <w:rPr>
                <w:i/>
                <w:color w:val="000000" w:themeColor="text1"/>
                <w:sz w:val="24"/>
                <w:szCs w:val="24"/>
              </w:rPr>
              <w:t xml:space="preserve"> participation, leadership through gradual-release development, and solidarity through equity. It succeeds because the local union has systematically aligned its governance, staff roles, data systems, strategic planning, and training infrastructure across all 11 core dimensions to empower everyday members to lead and exercise collective power together.</w:t>
            </w:r>
          </w:p>
        </w:tc>
      </w:tr>
    </w:tbl>
    <w:p w14:paraId="4D5B8451" w14:textId="77777777" w:rsidR="00451F33" w:rsidRPr="00CB5FC8" w:rsidRDefault="00451F33">
      <w:pPr>
        <w:rPr>
          <w:color w:val="000000" w:themeColor="text1"/>
          <w:sz w:val="24"/>
          <w:szCs w:val="24"/>
        </w:rPr>
      </w:pPr>
    </w:p>
    <w:sectPr w:rsidR="00451F33" w:rsidRPr="00CB5FC8" w:rsidSect="00CB5FC8">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5057222">
    <w:abstractNumId w:val="8"/>
  </w:num>
  <w:num w:numId="2" w16cid:durableId="2076120710">
    <w:abstractNumId w:val="6"/>
  </w:num>
  <w:num w:numId="3" w16cid:durableId="1921020198">
    <w:abstractNumId w:val="5"/>
  </w:num>
  <w:num w:numId="4" w16cid:durableId="812791936">
    <w:abstractNumId w:val="4"/>
  </w:num>
  <w:num w:numId="5" w16cid:durableId="1557817909">
    <w:abstractNumId w:val="7"/>
  </w:num>
  <w:num w:numId="6" w16cid:durableId="809981672">
    <w:abstractNumId w:val="3"/>
  </w:num>
  <w:num w:numId="7" w16cid:durableId="2094928516">
    <w:abstractNumId w:val="2"/>
  </w:num>
  <w:num w:numId="8" w16cid:durableId="342975179">
    <w:abstractNumId w:val="1"/>
  </w:num>
  <w:num w:numId="9" w16cid:durableId="95178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1F33"/>
    <w:rsid w:val="005515E1"/>
    <w:rsid w:val="0059149C"/>
    <w:rsid w:val="00AA1D8D"/>
    <w:rsid w:val="00B47730"/>
    <w:rsid w:val="00CB0664"/>
    <w:rsid w:val="00CB5F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2A3C263-70A0-424A-A0E4-6EEA516E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400CB3B-BFE2-42DC-9809-B85099896CA1}"/>
</file>

<file path=customXml/itemProps3.xml><?xml version="1.0" encoding="utf-8"?>
<ds:datastoreItem xmlns:ds="http://schemas.openxmlformats.org/officeDocument/2006/customXml" ds:itemID="{F14FFD0D-5A00-4C6E-8A38-51C006D9D686}"/>
</file>

<file path=customXml/itemProps4.xml><?xml version="1.0" encoding="utf-8"?>
<ds:datastoreItem xmlns:ds="http://schemas.openxmlformats.org/officeDocument/2006/customXml" ds:itemID="{FB0146E4-488E-4318-8C44-EA1E84346142}"/>
</file>

<file path=docProps/app.xml><?xml version="1.0" encoding="utf-8"?>
<Properties xmlns="http://schemas.openxmlformats.org/officeDocument/2006/extended-properties" xmlns:vt="http://schemas.openxmlformats.org/officeDocument/2006/docPropsVTypes">
  <Template>Normal</Template>
  <TotalTime>2</TotalTime>
  <Pages>3</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2</cp:revision>
  <dcterms:created xsi:type="dcterms:W3CDTF">2013-12-23T23:15:00Z</dcterms:created>
  <dcterms:modified xsi:type="dcterms:W3CDTF">2026-09-17T21:43:00Z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