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444D5" w14:textId="77777777" w:rsidR="00A916B6" w:rsidRPr="00A916B6" w:rsidRDefault="00A916B6" w:rsidP="00A916B6">
      <w:pPr>
        <w:spacing w:line="312" w:lineRule="atLeast"/>
        <w:textAlignment w:val="baseline"/>
        <w:outlineLvl w:val="0"/>
        <w:rPr>
          <w:rFonts w:ascii="Times New Roman" w:eastAsia="Times New Roman" w:hAnsi="Times New Roman" w:cs="Times New Roman"/>
          <w:b/>
          <w:bCs/>
          <w:color w:val="E0643B"/>
          <w:spacing w:val="12"/>
          <w:kern w:val="36"/>
          <w:sz w:val="45"/>
          <w:szCs w:val="45"/>
        </w:rPr>
      </w:pPr>
      <w:r w:rsidRPr="00A916B6">
        <w:rPr>
          <w:rFonts w:ascii="Times New Roman" w:eastAsia="Times New Roman" w:hAnsi="Times New Roman" w:cs="Times New Roman"/>
          <w:b/>
          <w:bCs/>
          <w:color w:val="E0643B"/>
          <w:spacing w:val="12"/>
          <w:kern w:val="36"/>
          <w:sz w:val="45"/>
          <w:szCs w:val="45"/>
        </w:rPr>
        <w:t>Making “Theory of Change” Useful in Your Campaigning</w:t>
      </w:r>
    </w:p>
    <w:p w14:paraId="728196A9" w14:textId="77777777" w:rsidR="00A916B6" w:rsidRPr="00A916B6" w:rsidRDefault="00A916B6" w:rsidP="00A916B6">
      <w:pPr>
        <w:spacing w:line="240" w:lineRule="auto"/>
        <w:textAlignment w:val="baseline"/>
        <w:rPr>
          <w:rFonts w:ascii="Times New Roman" w:eastAsia="Times New Roman" w:hAnsi="Times New Roman" w:cs="Times New Roman"/>
          <w:sz w:val="24"/>
          <w:szCs w:val="24"/>
        </w:rPr>
      </w:pPr>
      <w:r w:rsidRPr="00A916B6">
        <w:rPr>
          <w:rFonts w:ascii="Times New Roman" w:eastAsia="Times New Roman" w:hAnsi="Times New Roman" w:cs="Times New Roman"/>
          <w:b/>
          <w:bCs/>
          <w:sz w:val="24"/>
          <w:szCs w:val="24"/>
          <w:bdr w:val="none" w:sz="0" w:space="0" w:color="auto" w:frame="1"/>
        </w:rPr>
        <w:t>By </w:t>
      </w:r>
      <w:hyperlink r:id="rId8" w:history="1">
        <w:r w:rsidRPr="00A916B6">
          <w:rPr>
            <w:rFonts w:ascii="Times New Roman" w:eastAsia="Times New Roman" w:hAnsi="Times New Roman" w:cs="Times New Roman"/>
            <w:b/>
            <w:bCs/>
            <w:color w:val="122E4A"/>
            <w:sz w:val="24"/>
            <w:szCs w:val="24"/>
            <w:bdr w:val="none" w:sz="0" w:space="0" w:color="auto" w:frame="1"/>
          </w:rPr>
          <w:t>Ned Howey</w:t>
        </w:r>
      </w:hyperlink>
      <w:r w:rsidRPr="00A916B6">
        <w:rPr>
          <w:rFonts w:ascii="Times New Roman" w:eastAsia="Times New Roman" w:hAnsi="Times New Roman" w:cs="Times New Roman"/>
          <w:b/>
          <w:bCs/>
          <w:sz w:val="24"/>
          <w:szCs w:val="24"/>
          <w:bdr w:val="none" w:sz="0" w:space="0" w:color="auto" w:frame="1"/>
        </w:rPr>
        <w:t>, </w:t>
      </w:r>
      <w:hyperlink r:id="rId9" w:history="1">
        <w:r w:rsidRPr="00A916B6">
          <w:rPr>
            <w:rFonts w:ascii="Times New Roman" w:eastAsia="Times New Roman" w:hAnsi="Times New Roman" w:cs="Times New Roman"/>
            <w:b/>
            <w:bCs/>
            <w:color w:val="122E4A"/>
            <w:sz w:val="24"/>
            <w:szCs w:val="24"/>
            <w:bdr w:val="none" w:sz="0" w:space="0" w:color="auto" w:frame="1"/>
          </w:rPr>
          <w:t>Tectonica</w:t>
        </w:r>
      </w:hyperlink>
    </w:p>
    <w:p w14:paraId="707DD830" w14:textId="77777777" w:rsidR="00A916B6" w:rsidRPr="00A916B6" w:rsidRDefault="00A916B6" w:rsidP="00A916B6">
      <w:pPr>
        <w:spacing w:after="0" w:line="240" w:lineRule="auto"/>
        <w:textAlignment w:val="center"/>
        <w:rPr>
          <w:rFonts w:ascii="Arial" w:eastAsia="Times New Roman" w:hAnsi="Arial" w:cs="Arial"/>
          <w:color w:val="122E4A"/>
          <w:sz w:val="29"/>
          <w:szCs w:val="29"/>
        </w:rPr>
      </w:pPr>
      <w:r w:rsidRPr="00A916B6">
        <w:rPr>
          <w:rFonts w:ascii="Arial" w:eastAsia="Times New Roman" w:hAnsi="Arial" w:cs="Arial"/>
          <w:color w:val="122E4A"/>
          <w:sz w:val="29"/>
          <w:szCs w:val="29"/>
        </w:rPr>
        <w:t>Contents</w:t>
      </w:r>
    </w:p>
    <w:p w14:paraId="26DBA0F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0" w:anchor="Introduction" w:history="1">
        <w:r w:rsidRPr="00A916B6">
          <w:rPr>
            <w:rFonts w:ascii="Arial" w:eastAsia="Times New Roman" w:hAnsi="Arial" w:cs="Arial"/>
            <w:color w:val="122E4A"/>
            <w:bdr w:val="none" w:sz="0" w:space="0" w:color="auto" w:frame="1"/>
          </w:rPr>
          <w:t>Introduction</w:t>
        </w:r>
      </w:hyperlink>
    </w:p>
    <w:p w14:paraId="52BA5953"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1" w:anchor="A_Bit_of_History" w:history="1">
        <w:r w:rsidRPr="00A916B6">
          <w:rPr>
            <w:rFonts w:ascii="Arial" w:eastAsia="Times New Roman" w:hAnsi="Arial" w:cs="Arial"/>
            <w:color w:val="122E4A"/>
            <w:bdr w:val="none" w:sz="0" w:space="0" w:color="auto" w:frame="1"/>
          </w:rPr>
          <w:t>A Bit of History</w:t>
        </w:r>
      </w:hyperlink>
    </w:p>
    <w:p w14:paraId="5201B73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2" w:anchor="When_to_Use_a_Theory_of_Change" w:history="1">
        <w:r w:rsidRPr="00A916B6">
          <w:rPr>
            <w:rFonts w:ascii="Arial" w:eastAsia="Times New Roman" w:hAnsi="Arial" w:cs="Arial"/>
            <w:color w:val="122E4A"/>
            <w:bdr w:val="none" w:sz="0" w:space="0" w:color="auto" w:frame="1"/>
          </w:rPr>
          <w:t>When to Use a Theory of Change</w:t>
        </w:r>
      </w:hyperlink>
    </w:p>
    <w:p w14:paraId="26DDBE2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3" w:anchor="Getting_Everyone_on_the_Same_Page" w:history="1">
        <w:r w:rsidRPr="00A916B6">
          <w:rPr>
            <w:rFonts w:ascii="Arial" w:eastAsia="Times New Roman" w:hAnsi="Arial" w:cs="Arial"/>
            <w:color w:val="122E4A"/>
            <w:bdr w:val="none" w:sz="0" w:space="0" w:color="auto" w:frame="1"/>
          </w:rPr>
          <w:t>Getting Everyone on the Same Page</w:t>
        </w:r>
      </w:hyperlink>
    </w:p>
    <w:p w14:paraId="23D582FD"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4" w:anchor="For_Engagement" w:history="1">
        <w:r w:rsidRPr="00A916B6">
          <w:rPr>
            <w:rFonts w:ascii="Arial" w:eastAsia="Times New Roman" w:hAnsi="Arial" w:cs="Arial"/>
            <w:color w:val="122E4A"/>
            <w:bdr w:val="none" w:sz="0" w:space="0" w:color="auto" w:frame="1"/>
          </w:rPr>
          <w:t>For Engagement</w:t>
        </w:r>
      </w:hyperlink>
    </w:p>
    <w:p w14:paraId="510EF80E"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5" w:anchor="Be_Authentic_with_Your_Theory_of_Change" w:history="1">
        <w:r w:rsidRPr="00A916B6">
          <w:rPr>
            <w:rFonts w:ascii="Arial" w:eastAsia="Times New Roman" w:hAnsi="Arial" w:cs="Arial"/>
            <w:color w:val="122E4A"/>
            <w:bdr w:val="none" w:sz="0" w:space="0" w:color="auto" w:frame="1"/>
          </w:rPr>
          <w:t>Be Authentic with Your Theory of Change</w:t>
        </w:r>
      </w:hyperlink>
    </w:p>
    <w:p w14:paraId="464F0A40"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6" w:anchor="Good_Planning_for_Tough_Campaigns" w:history="1">
        <w:r w:rsidRPr="00A916B6">
          <w:rPr>
            <w:rFonts w:ascii="Arial" w:eastAsia="Times New Roman" w:hAnsi="Arial" w:cs="Arial"/>
            <w:color w:val="122E4A"/>
            <w:bdr w:val="none" w:sz="0" w:space="0" w:color="auto" w:frame="1"/>
          </w:rPr>
          <w:t>Good Planning for Tough Campaigns</w:t>
        </w:r>
      </w:hyperlink>
    </w:p>
    <w:p w14:paraId="614918EF"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7" w:anchor="What_Makes_a_Good_Theory_of_Change" w:history="1">
        <w:r w:rsidRPr="00A916B6">
          <w:rPr>
            <w:rFonts w:ascii="Arial" w:eastAsia="Times New Roman" w:hAnsi="Arial" w:cs="Arial"/>
            <w:color w:val="122E4A"/>
            <w:bdr w:val="none" w:sz="0" w:space="0" w:color="auto" w:frame="1"/>
          </w:rPr>
          <w:t>What Makes a Good Theory of Change</w:t>
        </w:r>
      </w:hyperlink>
    </w:p>
    <w:p w14:paraId="4C4E60F1" w14:textId="77777777" w:rsidR="00A916B6" w:rsidRPr="00A916B6" w:rsidRDefault="00A916B6" w:rsidP="00A916B6">
      <w:pPr>
        <w:numPr>
          <w:ilvl w:val="0"/>
          <w:numId w:val="1"/>
        </w:numPr>
        <w:shd w:val="clear" w:color="auto" w:fill="FFFFFF"/>
        <w:spacing w:after="0" w:line="240" w:lineRule="auto"/>
        <w:ind w:left="0"/>
        <w:textAlignment w:val="baseline"/>
        <w:rPr>
          <w:rFonts w:ascii="Arial" w:eastAsia="Times New Roman" w:hAnsi="Arial" w:cs="Arial"/>
          <w:color w:val="666666"/>
          <w:sz w:val="23"/>
          <w:szCs w:val="23"/>
        </w:rPr>
      </w:pPr>
      <w:hyperlink r:id="rId18" w:anchor="Explore_Further" w:history="1">
        <w:r w:rsidRPr="00A916B6">
          <w:rPr>
            <w:rFonts w:ascii="Arial" w:eastAsia="Times New Roman" w:hAnsi="Arial" w:cs="Arial"/>
            <w:color w:val="122E4A"/>
            <w:bdr w:val="none" w:sz="0" w:space="0" w:color="auto" w:frame="1"/>
          </w:rPr>
          <w:t>Explore Further</w:t>
        </w:r>
      </w:hyperlink>
    </w:p>
    <w:p w14:paraId="75E9C867" w14:textId="77777777" w:rsidR="00A916B6" w:rsidRPr="00A916B6" w:rsidRDefault="00A916B6" w:rsidP="00A916B6">
      <w:pPr>
        <w:numPr>
          <w:ilvl w:val="0"/>
          <w:numId w:val="1"/>
        </w:numPr>
        <w:shd w:val="clear" w:color="auto" w:fill="FFFFFF"/>
        <w:spacing w:line="240" w:lineRule="auto"/>
        <w:ind w:left="0"/>
        <w:textAlignment w:val="baseline"/>
        <w:rPr>
          <w:rFonts w:ascii="Arial" w:eastAsia="Times New Roman" w:hAnsi="Arial" w:cs="Arial"/>
          <w:color w:val="666666"/>
          <w:sz w:val="23"/>
          <w:szCs w:val="23"/>
        </w:rPr>
      </w:pPr>
      <w:hyperlink r:id="rId19" w:anchor="Share_Resource" w:history="1">
        <w:r w:rsidRPr="00A916B6">
          <w:rPr>
            <w:rFonts w:ascii="Arial" w:eastAsia="Times New Roman" w:hAnsi="Arial" w:cs="Arial"/>
            <w:color w:val="122E4A"/>
            <w:bdr w:val="none" w:sz="0" w:space="0" w:color="auto" w:frame="1"/>
          </w:rPr>
          <w:t>Share Resource</w:t>
        </w:r>
      </w:hyperlink>
    </w:p>
    <w:p w14:paraId="24BA02DE"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Introduction</w:t>
      </w:r>
    </w:p>
    <w:p w14:paraId="0F0CC469"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“Whatever you do, don’t say the phrase ‘theory of change’ to our Executive Director,” warned one of my clients.</w:t>
      </w:r>
    </w:p>
    <w:p w14:paraId="77D7A7B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As it turns out, the term had become a ‘trigger’ after a former consultant had used it so much that the experience had left the staff nothing short of – as they described it – ‘traumatized’. And, indeed, in my own work – as I’m sure is the case for many others helping guide organizations and campaigns with people-powered strategies – the term appears regularly almost to the point of annoyance. But despite its seeming over-use, “where does this fit in your theory of change?,” or even, “have you determined a theory of change for this campaign?” remain some of the most effective questions to put forward. Yet shockingly often, the answer is still “we don’t know” or “no”.</w:t>
      </w:r>
    </w:p>
    <w:p w14:paraId="274AF553"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Unless you understand how Theory of Change ToC works and what it’s useful for, this seeming semi-mantra of consultants and strategists can serve as no more than a nuisance. In our experience, though, practising and perfecting the application of ToC in strategic decision-making can be the key to winning power for campaigns.</w:t>
      </w:r>
    </w:p>
    <w:p w14:paraId="01B227C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When I first came across ‘theory of change’, I assumed it would be of great value as one specific step-by-step framework. My early attempts to track this approach down, though, yielded a disappointing result: rather than one specific set of steps, ToC is rather a broad array of models.</w:t>
      </w:r>
    </w:p>
    <w:p w14:paraId="2AACC0BB"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Indeed, Theory of Change is not one immovable framework or model, but rather a general approach that ensures that change itself is the main driver behind any planned and prioritized course of action within a campaign strategy – a kind of guiding element which should serve as true north for all actions planned and taken.</w:t>
      </w:r>
    </w:p>
    <w:p w14:paraId="406A8B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Models themself range from extremely simplistic to more complicated structures (such as the </w:t>
      </w:r>
      <w:hyperlink r:id="rId20" w:history="1">
        <w:r w:rsidRPr="00A916B6">
          <w:rPr>
            <w:rFonts w:ascii="Arial" w:eastAsia="Times New Roman" w:hAnsi="Arial" w:cs="Arial"/>
            <w:color w:val="122E4A"/>
            <w:sz w:val="24"/>
            <w:szCs w:val="24"/>
            <w:u w:val="single"/>
            <w:bdr w:val="none" w:sz="0" w:space="0" w:color="auto" w:frame="1"/>
          </w:rPr>
          <w:t>Logic Model which we utilize in our strategic consultations</w:t>
        </w:r>
      </w:hyperlink>
      <w:r w:rsidRPr="00A916B6">
        <w:rPr>
          <w:rFonts w:ascii="Arial" w:eastAsia="Times New Roman" w:hAnsi="Arial" w:cs="Arial"/>
          <w:color w:val="666666"/>
          <w:sz w:val="24"/>
          <w:szCs w:val="24"/>
        </w:rPr>
        <w:t>). The underlying element in all of them: It asks decision-makers to model their desired outcomes in order to decide and prioritize actions. (This is in contrast to campaigns with goals such as “raising awareness”, which we generally </w:t>
      </w:r>
      <w:hyperlink r:id="rId21" w:history="1">
        <w:r w:rsidRPr="00A916B6">
          <w:rPr>
            <w:rFonts w:ascii="Arial" w:eastAsia="Times New Roman" w:hAnsi="Arial" w:cs="Arial"/>
            <w:color w:val="122E4A"/>
            <w:sz w:val="24"/>
            <w:szCs w:val="24"/>
            <w:u w:val="single"/>
            <w:bdr w:val="none" w:sz="0" w:space="0" w:color="auto" w:frame="1"/>
          </w:rPr>
          <w:t>believe are not worth anything</w:t>
        </w:r>
      </w:hyperlink>
      <w:r w:rsidRPr="00A916B6">
        <w:rPr>
          <w:rFonts w:ascii="Arial" w:eastAsia="Times New Roman" w:hAnsi="Arial" w:cs="Arial"/>
          <w:color w:val="666666"/>
          <w:sz w:val="24"/>
          <w:szCs w:val="24"/>
        </w:rPr>
        <w:t>.)</w:t>
      </w:r>
    </w:p>
    <w:p w14:paraId="527DFA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lastRenderedPageBreak/>
        <w:t>A Bit of History</w:t>
      </w:r>
    </w:p>
    <w:p w14:paraId="45F6CA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Theory of Change as a methodology is not limited to the work of movement-builders or political campaigners. In fact, more broadly, its origins can be found in 1990s program development, and specifically its popularization through the Aspen Institute’s work with community programs. For this same reason, ToC was heavily weighted towards its value in accountability, guiding everything from government and private grantor funding decisions to program evaluation during and after program implementation.</w:t>
      </w:r>
    </w:p>
    <w:p w14:paraId="27D4109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hyperlink r:id="rId22" w:history="1">
        <w:r w:rsidRPr="00A916B6">
          <w:rPr>
            <w:rFonts w:ascii="Arial" w:eastAsia="Times New Roman" w:hAnsi="Arial" w:cs="Arial"/>
            <w:color w:val="122E4A"/>
            <w:sz w:val="24"/>
            <w:szCs w:val="24"/>
            <w:u w:val="single"/>
            <w:bdr w:val="none" w:sz="0" w:space="0" w:color="auto" w:frame="1"/>
          </w:rPr>
          <w:t>Carol Weiss</w:t>
        </w:r>
      </w:hyperlink>
      <w:r w:rsidRPr="00A916B6">
        <w:rPr>
          <w:rFonts w:ascii="Arial" w:eastAsia="Times New Roman" w:hAnsi="Arial" w:cs="Arial"/>
          <w:color w:val="666666"/>
          <w:sz w:val="24"/>
          <w:szCs w:val="24"/>
        </w:rPr>
        <w:t> was particularly important in developing ToC methodology and educating program teams on its application as a way of professionalizing and giving a degree of science to change-makers. (To note, ToC was intended very much as an accountability tool – which itself can be problematic in some ways we won’t explore here). Its applications extend to public health, community, social, and other such programs that seek to keep making a change to the surrounding context, community, environment, or society as the objective of their projects.</w:t>
      </w:r>
    </w:p>
    <w:p w14:paraId="0D8C20B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For many, it’s fairly obvious that change should be at the center of the work we do on people-based campaigns. So how does theory of change actually help in a practical sense? Here are a few specifics we’ve seen in our years of work.</w:t>
      </w:r>
    </w:p>
    <w:p w14:paraId="53CF82AA"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When to Use a Theory of Change</w:t>
      </w:r>
    </w:p>
    <w:p w14:paraId="5AD49577"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terms of timing, ToC definitely should have a central place at the beginning of any campaign planning. Actions and prioritization of those actions first need to take into account what realistically must be done to actually have a shot at achieving the change being sought.</w:t>
      </w:r>
    </w:p>
    <w:p w14:paraId="2876CAA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planning of a campaign isn’t the only place ToC can have a role, however. As </w:t>
      </w:r>
      <w:hyperlink r:id="rId23" w:history="1">
        <w:r w:rsidRPr="00A916B6">
          <w:rPr>
            <w:rFonts w:ascii="Arial" w:eastAsia="Times New Roman" w:hAnsi="Arial" w:cs="Arial"/>
            <w:color w:val="122E4A"/>
            <w:sz w:val="24"/>
            <w:szCs w:val="24"/>
            <w:u w:val="single"/>
            <w:bdr w:val="none" w:sz="0" w:space="0" w:color="auto" w:frame="1"/>
          </w:rPr>
          <w:t>Marshall Ganz says</w:t>
        </w:r>
      </w:hyperlink>
      <w:r w:rsidRPr="00A916B6">
        <w:rPr>
          <w:rFonts w:ascii="Arial" w:eastAsia="Times New Roman" w:hAnsi="Arial" w:cs="Arial"/>
          <w:color w:val="666666"/>
          <w:sz w:val="24"/>
          <w:szCs w:val="24"/>
        </w:rPr>
        <w:t>,</w:t>
      </w:r>
    </w:p>
    <w:p w14:paraId="704A1D85"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Strategy is a verb: a creative, continuous stream of tactical adaptation. It is something we do, not a noun, something we have. As we work toward our goal we learn from our successes and failures how to adapt our tactics to become more and more effective over time. – Marshall Ganz</w:t>
      </w:r>
    </w:p>
    <w:p w14:paraId="665B6CE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We know that the art of </w:t>
      </w:r>
      <w:hyperlink r:id="rId24" w:history="1">
        <w:r w:rsidRPr="00A916B6">
          <w:rPr>
            <w:rFonts w:ascii="Arial" w:eastAsia="Times New Roman" w:hAnsi="Arial" w:cs="Arial"/>
            <w:color w:val="122E4A"/>
            <w:sz w:val="24"/>
            <w:szCs w:val="24"/>
            <w:u w:val="single"/>
            <w:bdr w:val="none" w:sz="0" w:space="0" w:color="auto" w:frame="1"/>
          </w:rPr>
          <w:t>successful campaigning is very much about strategic dynamism in uncertain political circumstances</w:t>
        </w:r>
      </w:hyperlink>
      <w:r w:rsidRPr="00A916B6">
        <w:rPr>
          <w:rFonts w:ascii="Arial" w:eastAsia="Times New Roman" w:hAnsi="Arial" w:cs="Arial"/>
          <w:color w:val="666666"/>
          <w:sz w:val="24"/>
          <w:szCs w:val="24"/>
        </w:rPr>
        <w:t> and keeping focused on the change being sought can help in the course of day-to-day decision-making.</w:t>
      </w:r>
    </w:p>
    <w:p w14:paraId="5C6CCD6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One area of confusion is on what scale of campaigning ToC should be referred to. The great thing about ToC is that it’s incredibly versatile. ToC operates at every level, micro and macro. ToC can apply to the larger plan of an organisation achieving their mission in the coming years or to the planning of a single action email.</w:t>
      </w:r>
    </w:p>
    <w:p w14:paraId="5511B8B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 recall a client recently asking for help with their orientation events, which were communicated as general “meet and greets” and attended by about 15 percent of those who signed up. Drilling down, it became clear that the communications around the events didn’t help those signing up see their role or the value of donating their time to attend. They couldn’t see the relationship to the campaign’s ToC. As a result of adapting the event description to explain how participants would learn key roles, be assigned to teams, and start researching strategies for making change in their own communities, attendance increased substantially.</w:t>
      </w:r>
    </w:p>
    <w:p w14:paraId="23E7664C"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Getting Everyone on the Same Page</w:t>
      </w:r>
    </w:p>
    <w:p w14:paraId="7F4C3F15"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lastRenderedPageBreak/>
        <w:t>Strategic planning and decision-making is rarely done by a single person (if it was, in fact, it would be considerably less effective). ToC can help teams guide the discussion around how to think through different ideas on what interventions to take and, perhaps more importantly, how to weigh them. Additionally, having a clearly discussed or written ToC helps everyone who has to carry out part of the plan understand why they are responsible for a particular action, both performing the action with higher fidelity to its purpose, and with a greater sense of buy-in to conducting the action to begin with.</w:t>
      </w:r>
    </w:p>
    <w:p w14:paraId="2B1D01CA"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Campaigns require tiny, fast decisions to be made every day. These choices have a collective impact that drives a campaign’s direction. Having a defined Theory of Change allows everyone, from leadership to volunteers, to quickly apply the same framework in their decision making, creating a cohesive progressive echo of the movement’s agenda while avoiding bureaucratic slowdowns – Francesca Dulce Larson Managing Partner, Mosaic Strategies Group</w:t>
      </w:r>
    </w:p>
    <w:p w14:paraId="12DA714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For Engagement</w:t>
      </w:r>
    </w:p>
    <w:p w14:paraId="6138BB4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same goes for supporters, volunteers, members, activists, and anyone who is giving freely of their time to help your campaign in some way. By engaging in your campaign, these individuals are giving some of their own resources (usually time, but also sometimes risking reputation, safety, comfort, etc). Whether this is simply taking two seconds to sign a petition and give their personal data to an organization which might ceaselessly bug them with donation request (please don’t), or being willing to go to jail to stand up to a government’s moral failings, supporters are making an exchange with the campaign for what they are giving. (Side note: ToC is generally a transactional tool, and focused more on mobilizing for change in the </w:t>
      </w:r>
      <w:hyperlink r:id="rId25" w:history="1">
        <w:r w:rsidRPr="00A916B6">
          <w:rPr>
            <w:rFonts w:ascii="Arial" w:eastAsia="Times New Roman" w:hAnsi="Arial" w:cs="Arial"/>
            <w:color w:val="122E4A"/>
            <w:sz w:val="24"/>
            <w:szCs w:val="24"/>
            <w:u w:val="single"/>
            <w:bdr w:val="none" w:sz="0" w:space="0" w:color="auto" w:frame="1"/>
          </w:rPr>
          <w:t>form of visible power</w:t>
        </w:r>
      </w:hyperlink>
      <w:r w:rsidRPr="00A916B6">
        <w:rPr>
          <w:rFonts w:ascii="Arial" w:eastAsia="Times New Roman" w:hAnsi="Arial" w:cs="Arial"/>
          <w:color w:val="666666"/>
          <w:sz w:val="24"/>
          <w:szCs w:val="24"/>
        </w:rPr>
        <w:t>. Organizing itself holds other ways to build power which should be utilized as well).</w:t>
      </w:r>
    </w:p>
    <w:p w14:paraId="5874C697"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The most powerful way we’ve seen ToC play its essential role in campaigns is in communicating the value of this exchange between individuals desiring a change and an organization that could help make that change possible. If an individual cannot see that their actions stand a reasonable enough chance of actually being a part of making that change, it is likely they will not willingly give that which is being asked of them by the campaign.</w:t>
      </w:r>
    </w:p>
    <w:p w14:paraId="12F3731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The majority of times we’ve seen recruitment issues in a campaign, a lack of ToC (or its transparency to supporters) has been the culprit. This can be caused by a large number of issues. If the objective is too unrealistic to achieve – especially when the ask seems unlikely to help – for example “sign a petition to end global hunger,” people are unlikely to see the value in their participation and thus not engage (unless it strikes a chord as a statement for other reasons, such as in the midst of a particularly egregious context).</w:t>
      </w:r>
    </w:p>
    <w:p w14:paraId="2093D45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it is not clear how their action would play a role in making the change because it seems disconnected from the objective (“tweet your anger to end global hunger”), they are also unlikely to engage.</w:t>
      </w:r>
    </w:p>
    <w:p w14:paraId="6246A96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 xml:space="preserve">Finally, even if a ToC is present, if it’s not communicated to supporters, they have no mechanism for seeing the value of their action. It is important, then, to communicate the value of a supporter’s action as part of a larger strategy – </w:t>
      </w:r>
      <w:r w:rsidRPr="00A916B6">
        <w:rPr>
          <w:rFonts w:ascii="Arial" w:eastAsia="Times New Roman" w:hAnsi="Arial" w:cs="Arial"/>
          <w:color w:val="122E4A"/>
          <w:sz w:val="26"/>
          <w:szCs w:val="26"/>
        </w:rPr>
        <w:lastRenderedPageBreak/>
        <w:t>something that at times can be challenging when other parts of the strategy might need to be less public to be effective.</w:t>
      </w:r>
    </w:p>
    <w:p w14:paraId="4BDEE343"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Be Authentic with Your Theory of Change</w:t>
      </w:r>
    </w:p>
    <w:p w14:paraId="40C156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Many organizations have recognised the importance of having a ToC and implemented it procedurally in their campaign planning process. Too often, however, this becomes just another item on a checklist without actual commitment to developing a ToC that is realistic and thought through. We know that often in campaign teams there is a need for refreshment and a new approach to working with ToC. Sometimes using a new framework (like the one below) or bringing in outside people might be helpful.</w:t>
      </w:r>
    </w:p>
    <w:p w14:paraId="5418EDCA"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James Whelan of the Change Agency offers a good guideline to employ in crafting the structure of a basic ToC that keeps things honest:</w:t>
      </w:r>
    </w:p>
    <w:p w14:paraId="5B673719"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IF (we do these things) THEN (this will change) BECAUSE (some persuasive causal logic). Put another way, IF (tactics/activities) THEN (political outcome or change) BECAUSE (why?).” – James Whelan, from </w:t>
      </w:r>
      <w:hyperlink r:id="rId26" w:history="1">
        <w:r w:rsidRPr="00A916B6">
          <w:rPr>
            <w:rFonts w:ascii="Arial" w:eastAsia="Times New Roman" w:hAnsi="Arial" w:cs="Arial"/>
            <w:color w:val="122E4A"/>
            <w:sz w:val="26"/>
            <w:szCs w:val="26"/>
            <w:u w:val="single"/>
            <w:bdr w:val="none" w:sz="0" w:space="0" w:color="auto" w:frame="1"/>
          </w:rPr>
          <w:t>“Theories of Change”</w:t>
        </w:r>
      </w:hyperlink>
      <w:r w:rsidRPr="00A916B6">
        <w:rPr>
          <w:rFonts w:ascii="Arial" w:eastAsia="Times New Roman" w:hAnsi="Arial" w:cs="Arial"/>
          <w:color w:val="122E4A"/>
          <w:sz w:val="26"/>
          <w:szCs w:val="26"/>
        </w:rPr>
        <w:t>, The Commons Library</w:t>
      </w:r>
    </w:p>
    <w:p w14:paraId="21B99652"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Lack of believable and specific ToC doesn’t just set your campaign up for less likelihood of actually winning – it can also result in potential supporters not engaging and diminish trust between the organization and existing supporters.</w:t>
      </w:r>
    </w:p>
    <w:p w14:paraId="67C8924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Supporters can smell ToC that isn’t authentic a hundred meters away. People tend to be able to sense when a petition is launched just to build a list without any real hope of actually changing things, and the recruitment for such campaigns in our experience tends to be a struggle. (Petitions alone, it’s worth noting, rarely change big things).</w:t>
      </w:r>
    </w:p>
    <w:p w14:paraId="14A029AD"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A916B6">
        <w:rPr>
          <w:rFonts w:ascii="Times New Roman" w:eastAsia="Times New Roman" w:hAnsi="Times New Roman" w:cs="Times New Roman"/>
          <w:b/>
          <w:bCs/>
          <w:color w:val="122E4A"/>
          <w:spacing w:val="12"/>
          <w:sz w:val="38"/>
          <w:szCs w:val="38"/>
        </w:rPr>
        <w:t>Good Planning for Tough Campaigns</w:t>
      </w:r>
    </w:p>
    <w:p w14:paraId="5F6B85B2"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Progressive campaigning by definition challenge power injustices, which means we are constantly the underdogs in an asymmetric power struggle. We must not just exert power randomly, but be pretty clever about how we do so. Having a ToC helps us push through the thinking required to see what campaign design is required to coordinate the power we have in order to impact our targets.</w:t>
      </w:r>
    </w:p>
    <w:p w14:paraId="3AF4F22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In the case of a petition, for example, we want to think through who to direct the petition towards that could succeed in making the change needed, how many signatures would actually be required to move this person’s decision-making, and in fact, if a petition itself could actually sway their thinking. If not, alternative or additional actions to influence the target need to be considered.</w:t>
      </w:r>
    </w:p>
    <w:p w14:paraId="61FB937E"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Observing what might influence that person to make them change is going to be key.</w:t>
      </w:r>
    </w:p>
    <w:p w14:paraId="0B563F3D"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Maybe a petition is a step in our ToC to draw some attention but needs to be part of a bigger plan to show that the public is upset, to garner enough media attention to influence them or to be part of a mix of actions such as leading supporters to speak at a series of public meetings where the individual is shown that their voting constituency is upset enough about this specific issue to influence their potential re-election to office. (As is thoroughly explored in “Prisms of the People” and based on </w:t>
      </w:r>
      <w:hyperlink r:id="rId27" w:history="1">
        <w:r w:rsidRPr="00A916B6">
          <w:rPr>
            <w:rFonts w:ascii="Arial" w:eastAsia="Times New Roman" w:hAnsi="Arial" w:cs="Arial"/>
            <w:color w:val="122E4A"/>
            <w:sz w:val="24"/>
            <w:szCs w:val="24"/>
            <w:u w:val="single"/>
            <w:bdr w:val="none" w:sz="0" w:space="0" w:color="auto" w:frame="1"/>
          </w:rPr>
          <w:t>John Mark Hansen’s book “Gaining Access</w:t>
        </w:r>
      </w:hyperlink>
      <w:r w:rsidRPr="00A916B6">
        <w:rPr>
          <w:rFonts w:ascii="Arial" w:eastAsia="Times New Roman" w:hAnsi="Arial" w:cs="Arial"/>
          <w:color w:val="666666"/>
          <w:sz w:val="24"/>
          <w:szCs w:val="24"/>
        </w:rPr>
        <w:t xml:space="preserve">” and his case study of farm lobby study, one important key for </w:t>
      </w:r>
      <w:r w:rsidRPr="00A916B6">
        <w:rPr>
          <w:rFonts w:ascii="Arial" w:eastAsia="Times New Roman" w:hAnsi="Arial" w:cs="Arial"/>
          <w:color w:val="666666"/>
          <w:sz w:val="24"/>
          <w:szCs w:val="24"/>
        </w:rPr>
        <w:lastRenderedPageBreak/>
        <w:t>organizations to actually exert power and influence representatives is the ability to consistently turn out a base, not just show one time that something is important.)</w:t>
      </w:r>
    </w:p>
    <w:p w14:paraId="06C4C14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If the target is corporate, impacting their bottom line through potential consumer purchasing decisions might play a role, but, in developing a ToC, it should be asked how many consumers would you actually need to impact to catch the attention of a CEO or other decision maker within the business? It’s likely more than a small campaign can muster, which is </w:t>
      </w:r>
      <w:hyperlink r:id="rId28" w:history="1">
        <w:r w:rsidRPr="00A916B6">
          <w:rPr>
            <w:rFonts w:ascii="Arial" w:eastAsia="Times New Roman" w:hAnsi="Arial" w:cs="Arial"/>
            <w:color w:val="122E4A"/>
            <w:sz w:val="24"/>
            <w:szCs w:val="24"/>
            <w:u w:val="single"/>
            <w:bdr w:val="none" w:sz="0" w:space="0" w:color="auto" w:frame="1"/>
          </w:rPr>
          <w:t>why consumer boycotts are rarely successful</w:t>
        </w:r>
      </w:hyperlink>
      <w:r w:rsidRPr="00A916B6">
        <w:rPr>
          <w:rFonts w:ascii="Arial" w:eastAsia="Times New Roman" w:hAnsi="Arial" w:cs="Arial"/>
          <w:color w:val="666666"/>
          <w:sz w:val="24"/>
          <w:szCs w:val="24"/>
        </w:rPr>
        <w:t> without an organized movement behind them. It’s important to question if shareholders are a better target on which to exert influence in a specific case.</w:t>
      </w:r>
    </w:p>
    <w:p w14:paraId="4538A560"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In many cases our campaigns are won when the target can see clearly that it will cost them more resources to fight us than to make the change. Where this is our opportunity, this should factor into our campaign plan, and creating an authentic ToC will hold us to it.</w:t>
      </w:r>
    </w:p>
    <w:p w14:paraId="292D3E20"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Oftentimes our campaigns win on the sheer ingenuity of their approach. A new way of showing power will often serve to ambush the targets and throw them off kilter, which is why creativity and cleverness in a ToC can be so powerful. (Often the best innovations will come from involving supporters themselves in the strategic process of designing the campaign – many minds are usually better than a few,and their knowledge of what moves targets is often incredible).</w:t>
      </w:r>
    </w:p>
    <w:p w14:paraId="47B51AD4"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That said, once a specific approach has been used repeatedly, the targets having their power challenged to move them towards change will tend to learn to adapt, making the specific ToC less valuable over time. Holders of status quo power function a bit like a virus mutating to survive.</w:t>
      </w:r>
    </w:p>
    <w:p w14:paraId="09D3229E"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Systemically we’ve seen decreasing results from digital tactics overtime for this exact reason. Pressure applied on social media that worked during the times of the Arab Spring simply doesn’t achieve the same results today, and petition-based tactics see less and less real world impact each year. We must keep developing new ways to win.</w:t>
      </w:r>
    </w:p>
    <w:p w14:paraId="03E3B496"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Accepting this reality and applying a ToC that pushes innovation and creativity can be the key to winning the change we seek.</w:t>
      </w:r>
    </w:p>
    <w:p w14:paraId="51937FE9" w14:textId="77777777" w:rsidR="00A916B6" w:rsidRPr="00A916B6" w:rsidRDefault="00A916B6" w:rsidP="00A916B6">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bookmarkStart w:id="0" w:name="_GoBack"/>
      <w:r w:rsidRPr="00A916B6">
        <w:rPr>
          <w:rFonts w:ascii="Times New Roman" w:eastAsia="Times New Roman" w:hAnsi="Times New Roman" w:cs="Times New Roman"/>
          <w:b/>
          <w:bCs/>
          <w:color w:val="122E4A"/>
          <w:spacing w:val="12"/>
          <w:sz w:val="38"/>
          <w:szCs w:val="38"/>
        </w:rPr>
        <w:t>What Makes a Good Theory of Change</w:t>
      </w:r>
    </w:p>
    <w:p w14:paraId="229EE7EF" w14:textId="77777777" w:rsidR="00A916B6" w:rsidRPr="00A916B6" w:rsidRDefault="00A916B6" w:rsidP="00A916B6">
      <w:pPr>
        <w:shd w:val="clear" w:color="auto" w:fill="FFFFFF"/>
        <w:spacing w:after="0" w:line="240" w:lineRule="auto"/>
        <w:textAlignment w:val="baseline"/>
        <w:rPr>
          <w:rFonts w:ascii="Arial" w:eastAsia="Times New Roman" w:hAnsi="Arial" w:cs="Arial"/>
          <w:color w:val="666666"/>
          <w:sz w:val="24"/>
          <w:szCs w:val="24"/>
        </w:rPr>
      </w:pPr>
      <w:r w:rsidRPr="00A916B6">
        <w:rPr>
          <w:rFonts w:ascii="Arial" w:eastAsia="Times New Roman" w:hAnsi="Arial" w:cs="Arial"/>
          <w:color w:val="666666"/>
          <w:sz w:val="24"/>
          <w:szCs w:val="24"/>
        </w:rPr>
        <w:t>A few keys we believe are essential to having a successful ToC:</w:t>
      </w:r>
    </w:p>
    <w:p w14:paraId="453490F1"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overly complicated:</w:t>
      </w:r>
      <w:r w:rsidRPr="00A916B6">
        <w:rPr>
          <w:rFonts w:ascii="Arial" w:eastAsia="Times New Roman" w:hAnsi="Arial" w:cs="Arial"/>
          <w:color w:val="666666"/>
          <w:sz w:val="24"/>
          <w:szCs w:val="24"/>
        </w:rPr>
        <w:t> for your team and supporters to believe it, they need to understand it.</w:t>
      </w:r>
    </w:p>
    <w:p w14:paraId="0CA9549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Not gimmicky</w:t>
      </w:r>
      <w:r w:rsidRPr="00A916B6">
        <w:rPr>
          <w:rFonts w:ascii="Arial" w:eastAsia="Times New Roman" w:hAnsi="Arial" w:cs="Arial"/>
          <w:color w:val="666666"/>
          <w:sz w:val="24"/>
          <w:szCs w:val="24"/>
        </w:rPr>
        <w:t>: creative is good but too ‘out there’ or cheesy can backfire.</w:t>
      </w:r>
    </w:p>
    <w:p w14:paraId="571E823D"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Transparent and clearly communicated:</w:t>
      </w:r>
      <w:r w:rsidRPr="00A916B6">
        <w:rPr>
          <w:rFonts w:ascii="Arial" w:eastAsia="Times New Roman" w:hAnsi="Arial" w:cs="Arial"/>
          <w:color w:val="666666"/>
          <w:sz w:val="24"/>
          <w:szCs w:val="24"/>
        </w:rPr>
        <w:t> Every ‘ask’ is a chance for supporters to partner with you on your campaign, but to do so, they must understand their role in it.</w:t>
      </w:r>
    </w:p>
    <w:p w14:paraId="48773B25"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Authentic and credible</w:t>
      </w:r>
      <w:r w:rsidRPr="00A916B6">
        <w:rPr>
          <w:rFonts w:ascii="Arial" w:eastAsia="Times New Roman" w:hAnsi="Arial" w:cs="Arial"/>
          <w:color w:val="666666"/>
          <w:sz w:val="24"/>
          <w:szCs w:val="24"/>
        </w:rPr>
        <w:t>: it should be developed based on the realities of the situation. Don’t ask people to believe something you yourself do not.</w:t>
      </w:r>
    </w:p>
    <w:p w14:paraId="2124E43E"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t>Achievable:</w:t>
      </w:r>
      <w:r w:rsidRPr="00A916B6">
        <w:rPr>
          <w:rFonts w:ascii="Arial" w:eastAsia="Times New Roman" w:hAnsi="Arial" w:cs="Arial"/>
          <w:color w:val="666666"/>
          <w:sz w:val="24"/>
          <w:szCs w:val="24"/>
        </w:rPr>
        <w:t> Long shots are sometimes worth it, and </w:t>
      </w:r>
      <w:hyperlink r:id="rId29" w:history="1">
        <w:r w:rsidRPr="00A916B6">
          <w:rPr>
            <w:rFonts w:ascii="Arial" w:eastAsia="Times New Roman" w:hAnsi="Arial" w:cs="Arial"/>
            <w:color w:val="122E4A"/>
            <w:sz w:val="24"/>
            <w:szCs w:val="24"/>
            <w:u w:val="single"/>
            <w:bdr w:val="none" w:sz="0" w:space="0" w:color="auto" w:frame="1"/>
          </w:rPr>
          <w:t>failure is a part of campaigning</w:t>
        </w:r>
      </w:hyperlink>
      <w:r w:rsidRPr="00A916B6">
        <w:rPr>
          <w:rFonts w:ascii="Arial" w:eastAsia="Times New Roman" w:hAnsi="Arial" w:cs="Arial"/>
          <w:color w:val="666666"/>
          <w:sz w:val="24"/>
          <w:szCs w:val="24"/>
        </w:rPr>
        <w:t>. But aiming change a target outside the reach of an organization’s  current resources (or resources it believes it could garner) can also be a waste of time.</w:t>
      </w:r>
    </w:p>
    <w:p w14:paraId="1F54E449" w14:textId="77777777" w:rsidR="00A916B6" w:rsidRPr="00A916B6" w:rsidRDefault="00A916B6" w:rsidP="00A916B6">
      <w:pPr>
        <w:numPr>
          <w:ilvl w:val="0"/>
          <w:numId w:val="2"/>
        </w:numPr>
        <w:spacing w:after="0" w:line="390" w:lineRule="atLeast"/>
        <w:ind w:left="0"/>
        <w:textAlignment w:val="baseline"/>
        <w:rPr>
          <w:rFonts w:ascii="Arial" w:eastAsia="Times New Roman" w:hAnsi="Arial" w:cs="Arial"/>
          <w:color w:val="666666"/>
          <w:sz w:val="24"/>
          <w:szCs w:val="24"/>
        </w:rPr>
      </w:pPr>
      <w:r w:rsidRPr="00A916B6">
        <w:rPr>
          <w:rFonts w:ascii="Arial" w:eastAsia="Times New Roman" w:hAnsi="Arial" w:cs="Arial"/>
          <w:b/>
          <w:bCs/>
          <w:color w:val="666666"/>
          <w:sz w:val="24"/>
          <w:szCs w:val="24"/>
          <w:bdr w:val="none" w:sz="0" w:space="0" w:color="auto" w:frame="1"/>
        </w:rPr>
        <w:lastRenderedPageBreak/>
        <w:t>Testable:</w:t>
      </w:r>
      <w:r w:rsidRPr="00A916B6">
        <w:rPr>
          <w:rFonts w:ascii="Arial" w:eastAsia="Times New Roman" w:hAnsi="Arial" w:cs="Arial"/>
          <w:color w:val="666666"/>
          <w:sz w:val="24"/>
          <w:szCs w:val="24"/>
        </w:rPr>
        <w:t> Ideally you should be able to test against your ToC through a campaign to assess your progress, effectiveness of actions, need to adjust, as well as for evaluation and learning after the campaign in preparation for the next one.</w:t>
      </w:r>
    </w:p>
    <w:bookmarkEnd w:id="0"/>
    <w:p w14:paraId="16C67C1F" w14:textId="77777777" w:rsidR="00A916B6" w:rsidRPr="00A916B6" w:rsidRDefault="00A916B6" w:rsidP="00A916B6">
      <w:pPr>
        <w:spacing w:line="240" w:lineRule="auto"/>
        <w:jc w:val="both"/>
        <w:textAlignment w:val="baseline"/>
        <w:rPr>
          <w:rFonts w:ascii="Arial" w:eastAsia="Times New Roman" w:hAnsi="Arial" w:cs="Arial"/>
          <w:color w:val="122E4A"/>
          <w:sz w:val="26"/>
          <w:szCs w:val="26"/>
        </w:rPr>
      </w:pPr>
      <w:r w:rsidRPr="00A916B6">
        <w:rPr>
          <w:rFonts w:ascii="Arial" w:eastAsia="Times New Roman" w:hAnsi="Arial" w:cs="Arial"/>
          <w:color w:val="122E4A"/>
          <w:sz w:val="26"/>
          <w:szCs w:val="26"/>
        </w:rPr>
        <w:t>We have seen the practice of working with a ToC on every level of decision-making make huge impacts on organizations and campaigns we’ve worked with. More than a consultant buzz-word, having the right understanding of ToC and its potential has the possibility to transform the work on our people-powered campaigns.</w:t>
      </w:r>
    </w:p>
    <w:p w14:paraId="57945C32" w14:textId="687D12E9" w:rsidR="00BF4796" w:rsidRDefault="00BF4796"/>
    <w:p w14:paraId="214B5AB3" w14:textId="6BC1B512" w:rsidR="00CB590C" w:rsidRDefault="00CB590C"/>
    <w:p w14:paraId="00B6CF1B"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Theory of Change</w:t>
      </w:r>
    </w:p>
    <w:p w14:paraId="0033FD6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can help guide campaigners, their teams and communities. A well-crafted theory of change helps align the available energy, keeping your team focused and clear-headed about the change you plan to make and how.</w:t>
      </w:r>
    </w:p>
    <w:p w14:paraId="658C190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our workshops, we often use a basic three-part format to train campaigners to clarify their theory of change:</w:t>
      </w:r>
    </w:p>
    <w:p w14:paraId="4AA9F082"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IF (we do these things) THEN (this will change) BECAUSE (some persuasive causal logic). Put another way, IF (tactics / activities) THEN (political outcome or change) BECAUSE (why?).</w:t>
      </w:r>
    </w:p>
    <w:p w14:paraId="747C851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 example: IF workers and community members refuse to provide labour and services for the construction of a new coal mine THEN the mine’s development will be slowed and costs will increase, possibly resulting in the mine not going ahead BECAUSE the company relies entirely on local labour and community resources.</w:t>
      </w:r>
    </w:p>
    <w:p w14:paraId="6809AED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And another: IF local communities communicate their strong concern and opposition to a proposed coal-fired power station THEN the minister for energy won’t approve or support the plant BECAUSE the government fears a backlash from the community when the next election is held.</w:t>
      </w:r>
    </w:p>
    <w:p w14:paraId="5685945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It sounds simple enough, but this is a challenging process that takes practice. We’ve noticed four common pitfalls and offer a few remedies so your theory of change works for you and your team.</w:t>
      </w:r>
    </w:p>
    <w:p w14:paraId="5D99DCAC"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Magical Belief in the Power of our Tactics</w:t>
      </w:r>
    </w:p>
    <w:p w14:paraId="72B39C5B"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Activists love our tactics. It’s not uncommon for campaigners to write a theories of change that sound like this: “IF we do our favourite tactic long enough, well enough, THEN decision-makers will support the policies and programs we advocate BECAUSE they have been influenced by our tactics.”</w:t>
      </w:r>
    </w:p>
    <w:p w14:paraId="6F824225"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The ‘BECAUSE’ part needs to communicate your logic and be persuasive.</w:t>
      </w:r>
    </w:p>
    <w:p w14:paraId="733085A4"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Why, exactly, do you believe that your chosen tactics will bring about desired decisions on the part of your targeted decision-maker/s?</w:t>
      </w:r>
    </w:p>
    <w:p w14:paraId="2783DCB1"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How can you be confident they’ll even notice that you’ve done those things?</w:t>
      </w:r>
    </w:p>
    <w:p w14:paraId="08B62C60"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lastRenderedPageBreak/>
        <w:t>Why are you confident they’ll feel compelled to factor your values and concerns into their considerations?</w:t>
      </w:r>
    </w:p>
    <w:p w14:paraId="4FD10995" w14:textId="77777777" w:rsidR="00CB590C" w:rsidRPr="00CB590C" w:rsidRDefault="00CB590C" w:rsidP="00CB590C">
      <w:pPr>
        <w:numPr>
          <w:ilvl w:val="0"/>
          <w:numId w:val="3"/>
        </w:numPr>
        <w:spacing w:after="0" w:line="390" w:lineRule="atLeast"/>
        <w:ind w:left="0"/>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For example, are you aware of instances where the kind of tactics you’re planning have successfully influenced people in similar decision-making roles?</w:t>
      </w:r>
    </w:p>
    <w:p w14:paraId="2169878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Decision-makers are influenced by visible and invisible factors. They are obliged to and influenced by their political allies and adversaries, vested interests and donors.</w:t>
      </w:r>
    </w:p>
    <w:p w14:paraId="68800254"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To influence these people and institutions to veer from the status quo or the path most frequently taken – such as deciding to reject a development application or to prioritise programs that put health, the environment and education first – we need to understand what makes them tick. What factors can we realistically expect them to be influenced by?</w:t>
      </w:r>
    </w:p>
    <w:p w14:paraId="11E63FA3"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How will your tactics influence your identified decision-maker (or target)? Really? How can you be confident that your tactics will be more influential than the other pressures this person experiences? How long will we need to do these things before our targeted decision-maker is sufficiently influenced?</w:t>
      </w:r>
    </w:p>
    <w:p w14:paraId="49241200"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Tactics need to follow (come after) strategy and analysis. We need to have a realistic appraisal of the politics of a situation and how decisions are made before deciding how we’ll exercise the forms of power that are available to. Tactics come last.</w:t>
      </w:r>
    </w:p>
    <w:p w14:paraId="07D37646"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Awareness Raising</w:t>
      </w:r>
    </w:p>
    <w:p w14:paraId="566D20F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Community campaigners often craft theories of change that rely heavily on awareness-raising. These campaigners believe they can influence policy and politics by raising the awareness of either members and supporters or decision-makers (or both). This in turn reflects the assumption that people in public office make bad policy decisions because they don’t know better… or that community members don’t participate in collective action because they are ignorant of the problem.</w:t>
      </w:r>
    </w:p>
    <w:p w14:paraId="33966CC9"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In reality, decisions that support vested interests rather than the public interest are often made because of reasons other than ignorance – on the part of policy-makers or community members. The fossil fuel industry, for instance, ensures decisions that favour their interests by donating to political parties and running hard-headed media campaigns against any politician who stands up to them. People aren’t ignorant of this. In fact, it’s widely understood.</w:t>
      </w:r>
    </w:p>
    <w:p w14:paraId="2CD838AE"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Circular Reasoning</w:t>
      </w:r>
    </w:p>
    <w:p w14:paraId="7E0346FF"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is another common pitfall. Here’s an example: “If we create power then we will have power we can exercise… because we created it.”</w:t>
      </w:r>
    </w:p>
    <w:p w14:paraId="5EC7920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isn’t a useful theory of change because it doesn’t explain how we’ll achieve the changes we’re focused on. It’s also silent on the form/s of power that are most likely to influence the decisions we’re interested in and how we will build then exercise that power.</w:t>
      </w:r>
    </w:p>
    <w:p w14:paraId="293A1E3D"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Here’s another: “If we provide communities with information, resources and connections, they’ll be empowered to exercise self-determination because they are informed, resourced and connected.”</w:t>
      </w:r>
    </w:p>
    <w:p w14:paraId="35A6E220"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lastRenderedPageBreak/>
        <w:t>Ask yourself why anyone should believe your theory of change. Why should they invest their time, energy and hope in the course of action that you’re proposing?</w:t>
      </w:r>
    </w:p>
    <w:p w14:paraId="5E3DC8E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Circular reasoning often confuses virtue and power. We’re public interest advocates who work to uphold widely held values, so we have power, right? Sorry, no. Abolitionist Frederick Douglas wrote,</w:t>
      </w:r>
    </w:p>
    <w:p w14:paraId="0351399C" w14:textId="77777777" w:rsidR="00CB590C" w:rsidRPr="00CB590C" w:rsidRDefault="00CB590C" w:rsidP="00CB590C">
      <w:pPr>
        <w:spacing w:line="240" w:lineRule="auto"/>
        <w:jc w:val="both"/>
        <w:textAlignment w:val="baseline"/>
        <w:rPr>
          <w:rFonts w:ascii="Arial" w:eastAsia="Times New Roman" w:hAnsi="Arial" w:cs="Arial"/>
          <w:color w:val="122E4A"/>
          <w:sz w:val="26"/>
          <w:szCs w:val="26"/>
        </w:rPr>
      </w:pPr>
      <w:r w:rsidRPr="00CB590C">
        <w:rPr>
          <w:rFonts w:ascii="Arial" w:eastAsia="Times New Roman" w:hAnsi="Arial" w:cs="Arial"/>
          <w:color w:val="122E4A"/>
          <w:sz w:val="26"/>
          <w:szCs w:val="26"/>
        </w:rPr>
        <w:t>Power concedes nothing without a demand. It never did and it never will.</w:t>
      </w:r>
    </w:p>
    <w:p w14:paraId="5E1BDA88" w14:textId="4F722D69" w:rsid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We don’t necessarily have power simply because we’re campaigning for outcomes that are intrinsically ethical or moral. That’s where the craft of community organising to translate widely-held values into power comes in.</w:t>
      </w:r>
    </w:p>
    <w:p w14:paraId="6A44E431"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p>
    <w:p w14:paraId="6D9B6A79" w14:textId="77777777" w:rsidR="00CB590C" w:rsidRPr="00CB590C" w:rsidRDefault="00CB590C" w:rsidP="00CB590C">
      <w:pPr>
        <w:shd w:val="clear" w:color="auto" w:fill="FFFFFF"/>
        <w:spacing w:after="0" w:line="312" w:lineRule="atLeast"/>
        <w:textAlignment w:val="baseline"/>
        <w:outlineLvl w:val="1"/>
        <w:rPr>
          <w:rFonts w:ascii="Times New Roman" w:eastAsia="Times New Roman" w:hAnsi="Times New Roman" w:cs="Times New Roman"/>
          <w:b/>
          <w:bCs/>
          <w:color w:val="122E4A"/>
          <w:spacing w:val="12"/>
          <w:sz w:val="38"/>
          <w:szCs w:val="38"/>
        </w:rPr>
      </w:pPr>
      <w:r w:rsidRPr="00CB590C">
        <w:rPr>
          <w:rFonts w:ascii="Times New Roman" w:eastAsia="Times New Roman" w:hAnsi="Times New Roman" w:cs="Times New Roman"/>
          <w:b/>
          <w:bCs/>
          <w:color w:val="122E4A"/>
          <w:spacing w:val="12"/>
          <w:sz w:val="38"/>
          <w:szCs w:val="38"/>
        </w:rPr>
        <w:t>Pragmatic Step-wise Change or Changing Society (All at once)</w:t>
      </w:r>
    </w:p>
    <w:p w14:paraId="7E509758"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A theory of change created to explain how we’ll influence one or more political decisions this year is unlikely to provide a compelling explanation about how people who share our values and concerns will bring about a better world over decades or generations. The theory of change for a campaign we aim to win this year will be based on this year’s political realities and incorporate fine-grained information about what will influence specific decision makers.</w:t>
      </w:r>
    </w:p>
    <w:p w14:paraId="74CB00AE"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is like the difference between organising around visionary goals and values and campaigning for winnable objectives like specific public policies. If we’re doing both at once, we need to be clear about the relationship between our short-term objectives and long-term goals. Ideally, our short-term campaigns are part of and consistent with our longer-term social change work.</w:t>
      </w:r>
    </w:p>
    <w:p w14:paraId="2AE5FAD7"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Often, people are more likely to commit themselves to a course of action they believe will bring about a partial remedy in the short-term than to a course of action that will need to be sustained over a very long time in order to bring about a very different society.</w:t>
      </w:r>
    </w:p>
    <w:p w14:paraId="53D4C5AC"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r w:rsidRPr="00CB590C">
        <w:rPr>
          <w:rFonts w:ascii="Arial" w:eastAsia="Times New Roman" w:hAnsi="Arial" w:cs="Arial"/>
          <w:color w:val="666666"/>
          <w:sz w:val="24"/>
          <w:szCs w:val="24"/>
        </w:rPr>
        <w:t>This needn’t be an either/or decision. But we’ll need one theory of change for our campaign this year and another for our movement’s efforts in the next 20 years.</w:t>
      </w:r>
    </w:p>
    <w:p w14:paraId="24B040D6" w14:textId="77777777" w:rsidR="00CB590C" w:rsidRPr="00CB590C" w:rsidRDefault="00CB590C" w:rsidP="00CB590C">
      <w:pPr>
        <w:shd w:val="clear" w:color="auto" w:fill="FFFFFF"/>
        <w:spacing w:after="0" w:line="240" w:lineRule="auto"/>
        <w:textAlignment w:val="baseline"/>
        <w:rPr>
          <w:rFonts w:ascii="Arial" w:eastAsia="Times New Roman" w:hAnsi="Arial" w:cs="Arial"/>
          <w:color w:val="666666"/>
          <w:sz w:val="24"/>
          <w:szCs w:val="24"/>
        </w:rPr>
      </w:pPr>
      <w:hyperlink r:id="rId30" w:history="1">
        <w:r w:rsidRPr="00CB590C">
          <w:rPr>
            <w:rFonts w:ascii="Arial" w:eastAsia="Times New Roman" w:hAnsi="Arial" w:cs="Arial"/>
            <w:color w:val="122E4A"/>
            <w:sz w:val="24"/>
            <w:szCs w:val="24"/>
            <w:u w:val="single"/>
            <w:bdr w:val="none" w:sz="0" w:space="0" w:color="auto" w:frame="1"/>
          </w:rPr>
          <w:t>Here’s a link</w:t>
        </w:r>
      </w:hyperlink>
      <w:r w:rsidRPr="00CB590C">
        <w:rPr>
          <w:rFonts w:ascii="Arial" w:eastAsia="Times New Roman" w:hAnsi="Arial" w:cs="Arial"/>
          <w:color w:val="666666"/>
          <w:sz w:val="24"/>
          <w:szCs w:val="24"/>
        </w:rPr>
        <w:t> to the Change Agency’s collection of resources on theories of change. Reach out to share ideas and experiences. How are you applying this tool?</w:t>
      </w:r>
    </w:p>
    <w:p w14:paraId="014C6715" w14:textId="77777777" w:rsidR="00CB590C" w:rsidRDefault="00CB590C"/>
    <w:sectPr w:rsidR="00CB5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45514"/>
    <w:multiLevelType w:val="multilevel"/>
    <w:tmpl w:val="5A84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2559F0"/>
    <w:multiLevelType w:val="multilevel"/>
    <w:tmpl w:val="1F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087B90"/>
    <w:multiLevelType w:val="multilevel"/>
    <w:tmpl w:val="4344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6B6"/>
    <w:rsid w:val="000161CB"/>
    <w:rsid w:val="00A916B6"/>
    <w:rsid w:val="00BF4796"/>
    <w:rsid w:val="00CB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3527"/>
  <w15:chartTrackingRefBased/>
  <w15:docId w15:val="{673A26D3-3A93-46AD-8382-C2A94448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16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916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6B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916B6"/>
    <w:rPr>
      <w:rFonts w:ascii="Times New Roman" w:eastAsia="Times New Roman" w:hAnsi="Times New Roman" w:cs="Times New Roman"/>
      <w:b/>
      <w:bCs/>
      <w:sz w:val="36"/>
      <w:szCs w:val="36"/>
    </w:rPr>
  </w:style>
  <w:style w:type="character" w:styleId="Strong">
    <w:name w:val="Strong"/>
    <w:basedOn w:val="DefaultParagraphFont"/>
    <w:uiPriority w:val="22"/>
    <w:qFormat/>
    <w:rsid w:val="00A916B6"/>
    <w:rPr>
      <w:b/>
      <w:bCs/>
    </w:rPr>
  </w:style>
  <w:style w:type="character" w:styleId="Hyperlink">
    <w:name w:val="Hyperlink"/>
    <w:basedOn w:val="DefaultParagraphFont"/>
    <w:uiPriority w:val="99"/>
    <w:semiHidden/>
    <w:unhideWhenUsed/>
    <w:rsid w:val="00A916B6"/>
    <w:rPr>
      <w:color w:val="0000FF"/>
      <w:u w:val="single"/>
    </w:rPr>
  </w:style>
  <w:style w:type="paragraph" w:customStyle="1" w:styleId="ez-toc-title">
    <w:name w:val="ez-toc-title"/>
    <w:basedOn w:val="Normal"/>
    <w:rsid w:val="00A916B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916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655863">
      <w:bodyDiv w:val="1"/>
      <w:marLeft w:val="0"/>
      <w:marRight w:val="0"/>
      <w:marTop w:val="0"/>
      <w:marBottom w:val="0"/>
      <w:divBdr>
        <w:top w:val="none" w:sz="0" w:space="0" w:color="auto"/>
        <w:left w:val="none" w:sz="0" w:space="0" w:color="auto"/>
        <w:bottom w:val="none" w:sz="0" w:space="0" w:color="auto"/>
        <w:right w:val="none" w:sz="0" w:space="0" w:color="auto"/>
      </w:divBdr>
      <w:divsChild>
        <w:div w:id="1193809849">
          <w:marLeft w:val="0"/>
          <w:marRight w:val="0"/>
          <w:marTop w:val="0"/>
          <w:marBottom w:val="445"/>
          <w:divBdr>
            <w:top w:val="none" w:sz="0" w:space="0" w:color="auto"/>
            <w:left w:val="none" w:sz="0" w:space="0" w:color="auto"/>
            <w:bottom w:val="none" w:sz="0" w:space="0" w:color="auto"/>
            <w:right w:val="none" w:sz="0" w:space="0" w:color="auto"/>
          </w:divBdr>
          <w:divsChild>
            <w:div w:id="7296525">
              <w:marLeft w:val="0"/>
              <w:marRight w:val="0"/>
              <w:marTop w:val="0"/>
              <w:marBottom w:val="0"/>
              <w:divBdr>
                <w:top w:val="none" w:sz="0" w:space="0" w:color="auto"/>
                <w:left w:val="none" w:sz="0" w:space="0" w:color="auto"/>
                <w:bottom w:val="none" w:sz="0" w:space="0" w:color="auto"/>
                <w:right w:val="none" w:sz="0" w:space="0" w:color="auto"/>
              </w:divBdr>
            </w:div>
          </w:divsChild>
        </w:div>
        <w:div w:id="856188412">
          <w:marLeft w:val="0"/>
          <w:marRight w:val="0"/>
          <w:marTop w:val="0"/>
          <w:marBottom w:val="445"/>
          <w:divBdr>
            <w:top w:val="none" w:sz="0" w:space="0" w:color="auto"/>
            <w:left w:val="none" w:sz="0" w:space="0" w:color="auto"/>
            <w:bottom w:val="none" w:sz="0" w:space="0" w:color="auto"/>
            <w:right w:val="none" w:sz="0" w:space="0" w:color="auto"/>
          </w:divBdr>
          <w:divsChild>
            <w:div w:id="299458137">
              <w:marLeft w:val="0"/>
              <w:marRight w:val="0"/>
              <w:marTop w:val="0"/>
              <w:marBottom w:val="0"/>
              <w:divBdr>
                <w:top w:val="none" w:sz="0" w:space="0" w:color="auto"/>
                <w:left w:val="none" w:sz="0" w:space="0" w:color="auto"/>
                <w:bottom w:val="none" w:sz="0" w:space="0" w:color="auto"/>
                <w:right w:val="none" w:sz="0" w:space="0" w:color="auto"/>
              </w:divBdr>
            </w:div>
          </w:divsChild>
        </w:div>
        <w:div w:id="164248084">
          <w:marLeft w:val="0"/>
          <w:marRight w:val="0"/>
          <w:marTop w:val="0"/>
          <w:marBottom w:val="445"/>
          <w:divBdr>
            <w:top w:val="none" w:sz="0" w:space="0" w:color="auto"/>
            <w:left w:val="none" w:sz="0" w:space="0" w:color="auto"/>
            <w:bottom w:val="none" w:sz="0" w:space="0" w:color="auto"/>
            <w:right w:val="none" w:sz="0" w:space="0" w:color="auto"/>
          </w:divBdr>
          <w:divsChild>
            <w:div w:id="1086271799">
              <w:marLeft w:val="0"/>
              <w:marRight w:val="0"/>
              <w:marTop w:val="0"/>
              <w:marBottom w:val="240"/>
              <w:divBdr>
                <w:top w:val="single" w:sz="6" w:space="8" w:color="122E4A"/>
                <w:left w:val="single" w:sz="6" w:space="8" w:color="122E4A"/>
                <w:bottom w:val="single" w:sz="6" w:space="8" w:color="122E4A"/>
                <w:right w:val="single" w:sz="6" w:space="15" w:color="122E4A"/>
              </w:divBdr>
              <w:divsChild>
                <w:div w:id="182481745">
                  <w:marLeft w:val="0"/>
                  <w:marRight w:val="0"/>
                  <w:marTop w:val="0"/>
                  <w:marBottom w:val="0"/>
                  <w:divBdr>
                    <w:top w:val="none" w:sz="0" w:space="0" w:color="auto"/>
                    <w:left w:val="none" w:sz="0" w:space="0" w:color="auto"/>
                    <w:bottom w:val="none" w:sz="0" w:space="0" w:color="auto"/>
                    <w:right w:val="none" w:sz="0" w:space="0" w:color="auto"/>
                  </w:divBdr>
                </w:div>
              </w:divsChild>
            </w:div>
            <w:div w:id="60715573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86543635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8280586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2651116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948003563">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21773737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8932738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912438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2094810292">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390806999">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Child>
    </w:div>
    <w:div w:id="1132751754">
      <w:bodyDiv w:val="1"/>
      <w:marLeft w:val="0"/>
      <w:marRight w:val="0"/>
      <w:marTop w:val="0"/>
      <w:marBottom w:val="0"/>
      <w:divBdr>
        <w:top w:val="none" w:sz="0" w:space="0" w:color="auto"/>
        <w:left w:val="none" w:sz="0" w:space="0" w:color="auto"/>
        <w:bottom w:val="none" w:sz="0" w:space="0" w:color="auto"/>
        <w:right w:val="none" w:sz="0" w:space="0" w:color="auto"/>
      </w:divBdr>
      <w:divsChild>
        <w:div w:id="107454451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690372768">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484903291">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89040420">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 w:id="1049184126">
          <w:blockQuote w:val="1"/>
          <w:marLeft w:val="0"/>
          <w:marRight w:val="0"/>
          <w:marTop w:val="480"/>
          <w:marBottom w:val="720"/>
          <w:divBdr>
            <w:top w:val="single" w:sz="18" w:space="15" w:color="E0643B"/>
            <w:left w:val="single" w:sz="18" w:space="30" w:color="E0643B"/>
            <w:bottom w:val="single" w:sz="18" w:space="15" w:color="E0643B"/>
            <w:right w:val="single" w:sz="18" w:space="30" w:color="E0643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library.org/by/ned-howey/" TargetMode="External"/><Relationship Id="rId13" Type="http://schemas.openxmlformats.org/officeDocument/2006/relationships/hyperlink" Target="https://commonslibrary.org/making-theory-of-change-useful-in-your-campaigning/" TargetMode="External"/><Relationship Id="rId18" Type="http://schemas.openxmlformats.org/officeDocument/2006/relationships/hyperlink" Target="https://commonslibrary.org/making-theory-of-change-useful-in-your-campaigning/" TargetMode="External"/><Relationship Id="rId26" Type="http://schemas.openxmlformats.org/officeDocument/2006/relationships/hyperlink" Target="https://commonslibrary.org/theories-of-change-2/" TargetMode="External"/><Relationship Id="rId3" Type="http://schemas.openxmlformats.org/officeDocument/2006/relationships/customXml" Target="../customXml/item3.xml"/><Relationship Id="rId21" Type="http://schemas.openxmlformats.org/officeDocument/2006/relationships/hyperlink" Target="https://www.tectonica.co/awareness-shouldnt-be-your-objective" TargetMode="External"/><Relationship Id="rId7" Type="http://schemas.openxmlformats.org/officeDocument/2006/relationships/webSettings" Target="webSettings.xml"/><Relationship Id="rId12" Type="http://schemas.openxmlformats.org/officeDocument/2006/relationships/hyperlink" Target="https://commonslibrary.org/making-theory-of-change-useful-in-your-campaigning/" TargetMode="External"/><Relationship Id="rId17" Type="http://schemas.openxmlformats.org/officeDocument/2006/relationships/hyperlink" Target="https://commonslibrary.org/making-theory-of-change-useful-in-your-campaigning/" TargetMode="External"/><Relationship Id="rId25" Type="http://schemas.openxmlformats.org/officeDocument/2006/relationships/hyperlink" Target="https://en.wikipedia.org/wiki/Steven_Lukes" TargetMode="External"/><Relationship Id="rId2" Type="http://schemas.openxmlformats.org/officeDocument/2006/relationships/customXml" Target="../customXml/item2.xml"/><Relationship Id="rId16" Type="http://schemas.openxmlformats.org/officeDocument/2006/relationships/hyperlink" Target="https://commonslibrary.org/making-theory-of-change-useful-in-your-campaigning/" TargetMode="External"/><Relationship Id="rId20" Type="http://schemas.openxmlformats.org/officeDocument/2006/relationships/hyperlink" Target="https://www.tectonica.co/social_change_strategy" TargetMode="External"/><Relationship Id="rId29" Type="http://schemas.openxmlformats.org/officeDocument/2006/relationships/hyperlink" Target="https://www.tectonica.co/failur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onslibrary.org/making-theory-of-change-useful-in-your-campaigning/" TargetMode="External"/><Relationship Id="rId24" Type="http://schemas.openxmlformats.org/officeDocument/2006/relationships/hyperlink" Target="https://press.uchicago.edu/ucp/books/book/chicago/P/bo68659118.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commonslibrary.org/making-theory-of-change-useful-in-your-campaigning/" TargetMode="External"/><Relationship Id="rId23" Type="http://schemas.openxmlformats.org/officeDocument/2006/relationships/hyperlink" Target="https://global.oup.com/academic/product/why-david-sometimes-wins-9780195162011?cc=us&amp;lang=en&amp;" TargetMode="External"/><Relationship Id="rId28" Type="http://schemas.openxmlformats.org/officeDocument/2006/relationships/hyperlink" Target="https://www.theguardian.com/vital-signs/2015/jan/06/boycotts-shopping-protests-activists-consumers" TargetMode="External"/><Relationship Id="rId10" Type="http://schemas.openxmlformats.org/officeDocument/2006/relationships/hyperlink" Target="https://commonslibrary.org/making-theory-of-change-useful-in-your-campaigning/" TargetMode="External"/><Relationship Id="rId19" Type="http://schemas.openxmlformats.org/officeDocument/2006/relationships/hyperlink" Target="https://commonslibrary.org/making-theory-of-change-useful-in-your-campaignin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mmonslibrary.org/by/tectonica/" TargetMode="External"/><Relationship Id="rId14" Type="http://schemas.openxmlformats.org/officeDocument/2006/relationships/hyperlink" Target="https://commonslibrary.org/making-theory-of-change-useful-in-your-campaigning/" TargetMode="External"/><Relationship Id="rId22" Type="http://schemas.openxmlformats.org/officeDocument/2006/relationships/hyperlink" Target="https://en.wikipedia.org/wiki/Carol_Weiss" TargetMode="External"/><Relationship Id="rId27" Type="http://schemas.openxmlformats.org/officeDocument/2006/relationships/hyperlink" Target="https://press.uchicago.edu/ucp/books/book/chicago/G/bo3640052.html" TargetMode="External"/><Relationship Id="rId30" Type="http://schemas.openxmlformats.org/officeDocument/2006/relationships/hyperlink" Target="https://www.thechangeagency.org/?s=theory+of+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F85D3AE-DB76-42F6-98B3-CC434203EFF5}"/>
</file>

<file path=customXml/itemProps2.xml><?xml version="1.0" encoding="utf-8"?>
<ds:datastoreItem xmlns:ds="http://schemas.openxmlformats.org/officeDocument/2006/customXml" ds:itemID="{8A9C1C4E-9CE1-4F52-8B99-08B285C341B8}">
  <ds:schemaRefs>
    <ds:schemaRef ds:uri="http://schemas.microsoft.com/sharepoint/v3/contenttype/forms"/>
  </ds:schemaRefs>
</ds:datastoreItem>
</file>

<file path=customXml/itemProps3.xml><?xml version="1.0" encoding="utf-8"?>
<ds:datastoreItem xmlns:ds="http://schemas.openxmlformats.org/officeDocument/2006/customXml" ds:itemID="{0F150B2A-53AC-4C73-880F-38A52DB0281D}">
  <ds:schemaRefs>
    <ds:schemaRef ds:uri="http://www.w3.org/XML/1998/namespac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b891f0bc-c2e0-4096-ba95-63d9ad5383e5"/>
    <ds:schemaRef ds:uri="f4adc256-1af6-498f-b253-d417b21902d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3727</Words>
  <Characters>21250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2025-07-28T19:45:00Z</dcterms:created>
  <dcterms:modified xsi:type="dcterms:W3CDTF">2025-07-28T20:04:00Z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