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Organizing Strategy to Achieve Membership, Engagement, and Advocacy Goals</w:t>
      </w:r>
    </w:p>
    <w:p>
      <w:r>
        <w:t>This document outlines a strategy to achieve the goals of increasing membership, enhancing engagement, and conducting targeted advocacy efforts, based on our shared values of fairness, diversity, honesty, empathy, and collective action.</w:t>
      </w:r>
    </w:p>
    <w:p>
      <w:pPr>
        <w:pStyle w:val="Heading2"/>
      </w:pPr>
      <w:r>
        <w:t>1. Membership Increase</w:t>
      </w:r>
    </w:p>
    <w:p>
      <w:r>
        <w:t>Our values emphasize collective action and shared leadership, so our membership strategy will focus on empowering local leaders and addressing barriers to joining.</w:t>
        <w:br/>
        <w:br/>
        <w:t>Actions:</w:t>
        <w:br/>
        <w:t>• Identify locals with membership rates below 50% and prioritize outreach efforts.</w:t>
        <w:br/>
        <w:t>• Partner experienced organizers with local leaders to develop targeted campaigns.</w:t>
        <w:br/>
        <w:t>• Ensure every local has a New Hire Orientation (NHO) program that introduces our mission, values, and benefits.</w:t>
        <w:br/>
        <w:t>• Hold listening sessions to identify potential member concerns and address them with transparency and empathy.</w:t>
        <w:br/>
        <w:t>• Emphasize our role in dismantling systemic barriers and strengthening our union in all recruitment messaging.</w:t>
      </w:r>
    </w:p>
    <w:p>
      <w:pPr>
        <w:pStyle w:val="Heading2"/>
      </w:pPr>
      <w:r>
        <w:t>2. Engagement Increase</w:t>
      </w:r>
    </w:p>
    <w:p>
      <w:r>
        <w:t>Engagement is about sustaining relationships, not just increasing numbers. Our approach will be rooted in honesty, respect, and coalition-building to make every member feel valued and heard.</w:t>
        <w:br/>
        <w:br/>
        <w:t>Actions:</w:t>
        <w:br/>
        <w:t>• Identify barriers to participation (e.g., scheduling, childcare, transportation) and work to remove them.</w:t>
        <w:br/>
        <w:t>• Offer a variety of engagement opportunities, from formal meetings to community events and social gatherings.</w:t>
        <w:br/>
        <w:t>• Empower the Membership Committee to support both active and dormant locals.</w:t>
        <w:br/>
        <w:t>• Organize events like 'Meet Your Leaders' sessions, where members can connect with elected leadership.</w:t>
        <w:br/>
        <w:t>• Use feedback loops (surveys, open forums) to ensure members’ voices are reflected in union priorities.</w:t>
      </w:r>
    </w:p>
    <w:p>
      <w:pPr>
        <w:pStyle w:val="Heading2"/>
      </w:pPr>
      <w:r>
        <w:t>3. Targeted Advocacy Efforts</w:t>
      </w:r>
    </w:p>
    <w:p>
      <w:r>
        <w:t>To defend public education and advance social justice, we must strategically address opposition to our values. Our advocacy efforts will be proactive, precise, and guided by fairness and empathy.</w:t>
        <w:br/>
        <w:br/>
        <w:t>Actions:</w:t>
        <w:br/>
        <w:t>• Identify individuals, organizations, and policies that are actively opposing union work, public education, or social justice.</w:t>
        <w:br/>
        <w:t>• Conduct thorough research to understand their positions, influence, and potential vulnerabilities.</w:t>
        <w:br/>
        <w:t>• Deploy trained advocates to engage in respectful but firm dialogue, countering misinformation with facts.</w:t>
        <w:br/>
        <w:t>• Build coalitions with community partners to amplify our message and create a united front.</w:t>
        <w:br/>
        <w:t>• Leverage collective action to advocate for policies that protect school employees and students while ensuring better outcomes for all.</w:t>
      </w:r>
      <w:r>
        <w:br/>
        <w:br/>
        <w:t>Additional Direct Action Ideas:</w:t>
        <w:br/>
        <w:t>• Organize protests and rallies to publicly demonstrate our stance and mobilize community support.</w:t>
        <w:br/>
        <w:t>• Conduct house visits to engage members and potential allies in personal, one-on-one conversations.</w:t>
        <w:br/>
        <w:t>• Host informational pickets outside key decision-making venues.</w:t>
        <w:br/>
        <w:t>• Arrange press conferences to bring media attention to urgent issues.</w:t>
        <w:br/>
        <w:t>• Organize solidarity delegations to show collective presence at critical meetings or hearings.</w:t>
      </w:r>
    </w:p>
    <w:p>
      <w:pPr>
        <w:pStyle w:val="Heading2"/>
      </w:pPr>
      <w:r>
        <w:t>4. Alignment with Core Values</w:t>
      </w:r>
    </w:p>
    <w:p>
      <w:r>
        <w:t>Every strategy we implement will be grounded in the principles outlined in our Organizing values:</w:t>
        <w:br/>
        <w:t>• Fairness – Ensuring equitable treatment and opportunity for all members.</w:t>
        <w:br/>
        <w:t>• Diversity – Welcoming and celebrating different perspectives and backgrounds.</w:t>
        <w:br/>
        <w:t>• Honesty – Maintaining transparency in our actions and communications.</w:t>
        <w:br/>
        <w:t>• Empathy – Listening and responding with compassion.</w:t>
        <w:br/>
        <w:t>• Collective Action – Recognizing that we are strongest when we work together.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989F54-EEE8-4AC9-A058-2AB826E6283F}"/>
</file>

<file path=customXml/itemProps3.xml><?xml version="1.0" encoding="utf-8"?>
<ds:datastoreItem xmlns:ds="http://schemas.openxmlformats.org/officeDocument/2006/customXml" ds:itemID="{7EC59E5A-D312-4E3D-BE0C-160CA824733B}"/>
</file>

<file path=customXml/itemProps4.xml><?xml version="1.0" encoding="utf-8"?>
<ds:datastoreItem xmlns:ds="http://schemas.openxmlformats.org/officeDocument/2006/customXml" ds:itemID="{F622F31E-1AD5-47E7-9A74-4447ED3D9A1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