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57DA9" w14:textId="39317883" w:rsidR="00F061CA" w:rsidRPr="00174475" w:rsidRDefault="00CB1F10">
      <w:pPr>
        <w:spacing w:after="80"/>
        <w:rPr>
          <w:rFonts w:asciiTheme="majorHAnsi" w:hAnsiTheme="majorHAnsi" w:cstheme="majorHAnsi"/>
          <w:color w:val="auto"/>
          <w:sz w:val="44"/>
          <w:szCs w:val="44"/>
        </w:rPr>
      </w:pPr>
      <w:r w:rsidRPr="00174475">
        <w:rPr>
          <w:rFonts w:asciiTheme="majorHAnsi" w:hAnsiTheme="majorHAnsi" w:cstheme="majorHAnsi"/>
          <w:b/>
          <w:color w:val="auto"/>
          <w:sz w:val="44"/>
          <w:szCs w:val="44"/>
        </w:rPr>
        <w:t xml:space="preserve">Facilitator </w:t>
      </w:r>
      <w:r w:rsidR="00174475" w:rsidRPr="00174475">
        <w:rPr>
          <w:rFonts w:asciiTheme="majorHAnsi" w:hAnsiTheme="majorHAnsi" w:cstheme="majorHAnsi"/>
          <w:b/>
          <w:color w:val="auto"/>
          <w:sz w:val="44"/>
          <w:szCs w:val="44"/>
        </w:rPr>
        <w:t>Notes for High Participation Local Assessment and Guide</w:t>
      </w:r>
    </w:p>
    <w:p w14:paraId="13B7F909" w14:textId="77777777" w:rsidR="00F061CA" w:rsidRPr="00174475" w:rsidRDefault="00CB1F10">
      <w:pPr>
        <w:spacing w:after="240" w:line="288" w:lineRule="auto"/>
        <w:rPr>
          <w:rFonts w:asciiTheme="majorHAnsi" w:hAnsiTheme="majorHAnsi" w:cstheme="majorHAnsi"/>
          <w:color w:val="auto"/>
        </w:rPr>
      </w:pPr>
      <w:r w:rsidRPr="00174475">
        <w:rPr>
          <w:rFonts w:asciiTheme="majorHAnsi" w:hAnsiTheme="majorHAnsi" w:cstheme="majorHAnsi"/>
          <w:color w:val="auto"/>
        </w:rPr>
        <w:t>A facilitator leading a strategic planning meeting would use the High Participation Local Guide as a diagnostic, benchmarking, and alignment framework. Rather than treating strategic planning as an abstract goal-setting exercise, this document shifts the focus toward building structural organizational capacity, expanding rank-and-file participation, and transitioning from a passive "servicing" model to an active, member-led "organizing" model.</w:t>
      </w:r>
    </w:p>
    <w:p w14:paraId="13D98040" w14:textId="77777777" w:rsidR="00F061CA" w:rsidRPr="00174475" w:rsidRDefault="00CB1F10">
      <w:pPr>
        <w:spacing w:before="280"/>
        <w:rPr>
          <w:rFonts w:asciiTheme="majorHAnsi" w:hAnsiTheme="majorHAnsi" w:cstheme="majorHAnsi"/>
          <w:color w:val="auto"/>
        </w:rPr>
      </w:pPr>
      <w:r w:rsidRPr="00174475">
        <w:rPr>
          <w:rFonts w:asciiTheme="majorHAnsi" w:hAnsiTheme="majorHAnsi" w:cstheme="majorHAnsi"/>
          <w:b/>
          <w:color w:val="auto"/>
        </w:rPr>
        <w:t>Core Reasons to Use the Guide in Strategic Planning</w:t>
      </w:r>
    </w:p>
    <w:p w14:paraId="1A19D0A6" w14:textId="77777777" w:rsidR="00F061CA" w:rsidRPr="00174475" w:rsidRDefault="00CB1F10">
      <w:pPr>
        <w:pStyle w:val="ListBullet"/>
        <w:rPr>
          <w:rFonts w:asciiTheme="majorHAnsi" w:hAnsiTheme="majorHAnsi" w:cstheme="majorHAnsi"/>
          <w:color w:val="auto"/>
        </w:rPr>
      </w:pPr>
      <w:r w:rsidRPr="00174475">
        <w:rPr>
          <w:rFonts w:asciiTheme="majorHAnsi" w:hAnsiTheme="majorHAnsi" w:cstheme="majorHAnsi"/>
          <w:b/>
          <w:color w:val="auto"/>
        </w:rPr>
        <w:t xml:space="preserve">Diagnostic Evaluation: </w:t>
      </w:r>
      <w:r w:rsidRPr="00174475">
        <w:rPr>
          <w:rFonts w:asciiTheme="majorHAnsi" w:hAnsiTheme="majorHAnsi" w:cstheme="majorHAnsi"/>
          <w:color w:val="auto"/>
        </w:rPr>
        <w:t>The Self-Assessment Tool provides a structured 1-to-4 rating scale across 11 key dimensions (e.g., Site Leaders, Data Systems, Strategic Planning, Structure Tests). Facilitators can use this to help the leadership team evaluate where the organization currently operates and establish an accurate baseline.</w:t>
      </w:r>
    </w:p>
    <w:p w14:paraId="6B662906" w14:textId="77777777" w:rsidR="00F061CA" w:rsidRPr="00174475" w:rsidRDefault="00CB1F10">
      <w:pPr>
        <w:pStyle w:val="ListBullet"/>
        <w:rPr>
          <w:rFonts w:asciiTheme="majorHAnsi" w:hAnsiTheme="majorHAnsi" w:cstheme="majorHAnsi"/>
          <w:color w:val="auto"/>
        </w:rPr>
      </w:pPr>
      <w:r w:rsidRPr="00174475">
        <w:rPr>
          <w:rFonts w:asciiTheme="majorHAnsi" w:hAnsiTheme="majorHAnsi" w:cstheme="majorHAnsi"/>
          <w:b/>
          <w:color w:val="auto"/>
        </w:rPr>
        <w:t xml:space="preserve">Consensus-Building &amp; Uncovering Discrepancies: </w:t>
      </w:r>
      <w:r w:rsidRPr="00174475">
        <w:rPr>
          <w:rFonts w:asciiTheme="majorHAnsi" w:hAnsiTheme="majorHAnsi" w:cstheme="majorHAnsi"/>
          <w:color w:val="auto"/>
        </w:rPr>
        <w:t>Step 2 of the scoring process requires leadership to compare scores across different roles (e.g., comparing staff perceptions against rank-and-file building reps). Discussing gaps forces the team to look at hard evidence—such as data wall-charts—rather than subjective assumptions.</w:t>
      </w:r>
    </w:p>
    <w:p w14:paraId="4940B846" w14:textId="77777777" w:rsidR="00F061CA" w:rsidRPr="00174475" w:rsidRDefault="00CB1F10">
      <w:pPr>
        <w:pStyle w:val="ListBullet"/>
        <w:rPr>
          <w:rFonts w:asciiTheme="majorHAnsi" w:hAnsiTheme="majorHAnsi" w:cstheme="majorHAnsi"/>
          <w:color w:val="auto"/>
        </w:rPr>
      </w:pPr>
      <w:r w:rsidRPr="00174475">
        <w:rPr>
          <w:rFonts w:asciiTheme="majorHAnsi" w:hAnsiTheme="majorHAnsi" w:cstheme="majorHAnsi"/>
          <w:b/>
          <w:color w:val="auto"/>
        </w:rPr>
        <w:t xml:space="preserve">Identifying Structural Bottlenecks: </w:t>
      </w:r>
      <w:r w:rsidRPr="00174475">
        <w:rPr>
          <w:rFonts w:asciiTheme="majorHAnsi" w:hAnsiTheme="majorHAnsi" w:cstheme="majorHAnsi"/>
          <w:color w:val="auto"/>
        </w:rPr>
        <w:t>The guide outlines Foundational Capacity Drivers (Dimensions 1, 2, 5, 6, 7, and 10). If these core dimensions score low, it highlights why broader campaigns fail, preventing the team from setting unrealistic goals without fixing underlying structural issues first.</w:t>
      </w:r>
    </w:p>
    <w:p w14:paraId="52EA4140" w14:textId="77777777" w:rsidR="00F061CA" w:rsidRPr="00174475" w:rsidRDefault="00CB1F10">
      <w:pPr>
        <w:pStyle w:val="ListBullet"/>
        <w:rPr>
          <w:rFonts w:asciiTheme="majorHAnsi" w:hAnsiTheme="majorHAnsi" w:cstheme="majorHAnsi"/>
          <w:color w:val="auto"/>
        </w:rPr>
      </w:pPr>
      <w:r w:rsidRPr="00174475">
        <w:rPr>
          <w:rFonts w:asciiTheme="majorHAnsi" w:hAnsiTheme="majorHAnsi" w:cstheme="majorHAnsi"/>
          <w:b/>
          <w:color w:val="auto"/>
        </w:rPr>
        <w:t xml:space="preserve">Focusing Priority Actions: </w:t>
      </w:r>
      <w:r w:rsidRPr="00174475">
        <w:rPr>
          <w:rFonts w:asciiTheme="majorHAnsi" w:hAnsiTheme="majorHAnsi" w:cstheme="majorHAnsi"/>
          <w:color w:val="auto"/>
        </w:rPr>
        <w:t>Instead of attempting to fix everything at once, the framework guides the team to select no more than three strategic priority areas: The Bottleneck, The Multiplier, and The Campaign Catalyst.</w:t>
      </w:r>
    </w:p>
    <w:p w14:paraId="7FD61CB2" w14:textId="77777777" w:rsidR="00F061CA" w:rsidRPr="00174475" w:rsidRDefault="00CB1F10">
      <w:pPr>
        <w:pStyle w:val="ListBullet"/>
        <w:rPr>
          <w:rFonts w:asciiTheme="majorHAnsi" w:hAnsiTheme="majorHAnsi" w:cstheme="majorHAnsi"/>
          <w:color w:val="auto"/>
        </w:rPr>
      </w:pPr>
      <w:r w:rsidRPr="00174475">
        <w:rPr>
          <w:rFonts w:asciiTheme="majorHAnsi" w:hAnsiTheme="majorHAnsi" w:cstheme="majorHAnsi"/>
          <w:b/>
          <w:color w:val="auto"/>
        </w:rPr>
        <w:t xml:space="preserve">Integrating Equity as an Organizing Methodology: </w:t>
      </w:r>
      <w:r w:rsidRPr="00174475">
        <w:rPr>
          <w:rFonts w:asciiTheme="majorHAnsi" w:hAnsiTheme="majorHAnsi" w:cstheme="majorHAnsi"/>
          <w:color w:val="auto"/>
        </w:rPr>
        <w:t>The framework incorporates an intentional equity lens into every step—asking who participates, who leads, who benefits, and what structural barriers exist—rather than treating equity as an isolated checklist item.</w:t>
      </w:r>
    </w:p>
    <w:p w14:paraId="5417E0CF" w14:textId="77777777" w:rsidR="00F061CA" w:rsidRPr="00174475" w:rsidRDefault="00CB1F10">
      <w:pPr>
        <w:pStyle w:val="ListBullet"/>
        <w:rPr>
          <w:rFonts w:asciiTheme="majorHAnsi" w:hAnsiTheme="majorHAnsi" w:cstheme="majorHAnsi"/>
          <w:color w:val="auto"/>
        </w:rPr>
      </w:pPr>
      <w:r w:rsidRPr="00174475">
        <w:rPr>
          <w:rFonts w:asciiTheme="majorHAnsi" w:hAnsiTheme="majorHAnsi" w:cstheme="majorHAnsi"/>
          <w:b/>
          <w:color w:val="auto"/>
        </w:rPr>
        <w:t xml:space="preserve">Actionable 12-Month Strategy: </w:t>
      </w:r>
      <w:r w:rsidRPr="00174475">
        <w:rPr>
          <w:rFonts w:asciiTheme="majorHAnsi" w:hAnsiTheme="majorHAnsi" w:cstheme="majorHAnsi"/>
          <w:color w:val="auto"/>
        </w:rPr>
        <w:t>The guide concludes with structured coaching prompts and a template to produce a clear, 12-month Strategic Roadmap with defined 90-day and 1-year benchmarks.</w:t>
      </w:r>
    </w:p>
    <w:sectPr w:rsidR="00F061CA" w:rsidRPr="0017447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1061563">
    <w:abstractNumId w:val="8"/>
  </w:num>
  <w:num w:numId="2" w16cid:durableId="1905605954">
    <w:abstractNumId w:val="6"/>
  </w:num>
  <w:num w:numId="3" w16cid:durableId="728311226">
    <w:abstractNumId w:val="5"/>
  </w:num>
  <w:num w:numId="4" w16cid:durableId="1102453056">
    <w:abstractNumId w:val="4"/>
  </w:num>
  <w:num w:numId="5" w16cid:durableId="776557687">
    <w:abstractNumId w:val="7"/>
  </w:num>
  <w:num w:numId="6" w16cid:durableId="343435808">
    <w:abstractNumId w:val="3"/>
  </w:num>
  <w:num w:numId="7" w16cid:durableId="1420174600">
    <w:abstractNumId w:val="2"/>
  </w:num>
  <w:num w:numId="8" w16cid:durableId="604266818">
    <w:abstractNumId w:val="1"/>
  </w:num>
  <w:num w:numId="9" w16cid:durableId="813567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4475"/>
    <w:rsid w:val="0029639D"/>
    <w:rsid w:val="00326F90"/>
    <w:rsid w:val="007D2145"/>
    <w:rsid w:val="00AA1D8D"/>
    <w:rsid w:val="00B47730"/>
    <w:rsid w:val="00CB0664"/>
    <w:rsid w:val="00CB1F10"/>
    <w:rsid w:val="00F061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2B503E6-A70A-4E48-A297-2B70FF3EB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21F51EC-FB87-444C-8403-93CF7BB6C72D}"/>
</file>

<file path=customXml/itemProps3.xml><?xml version="1.0" encoding="utf-8"?>
<ds:datastoreItem xmlns:ds="http://schemas.openxmlformats.org/officeDocument/2006/customXml" ds:itemID="{AF0722F7-142D-4D28-AC94-C15C99DA7E9D}"/>
</file>

<file path=customXml/itemProps4.xml><?xml version="1.0" encoding="utf-8"?>
<ds:datastoreItem xmlns:ds="http://schemas.openxmlformats.org/officeDocument/2006/customXml" ds:itemID="{A0A6124D-9BF1-450E-A7F9-8C27099952D6}"/>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2</cp:revision>
  <dcterms:created xsi:type="dcterms:W3CDTF">2013-12-23T23:15:00Z</dcterms:created>
  <dcterms:modified xsi:type="dcterms:W3CDTF">2026-09-18T18:27:00Z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