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3953" w14:textId="77777777" w:rsidR="00EC1817" w:rsidRPr="00EC1817" w:rsidRDefault="00EC1817" w:rsidP="00EC1817">
      <w:r w:rsidRPr="00EC1817">
        <w:t>Federal gay rights are protected by the </w:t>
      </w:r>
      <w:r w:rsidRPr="00EC1817">
        <w:rPr>
          <w:b/>
          <w:bCs/>
        </w:rPr>
        <w:t>Respect for Marriage Act</w:t>
      </w:r>
      <w:r w:rsidRPr="00EC1817">
        <w:t> and the Supreme Court's ruling in </w:t>
      </w:r>
      <w:hyperlink r:id="rId5" w:history="1">
        <w:r w:rsidRPr="00EC1817">
          <w:rPr>
            <w:rStyle w:val="Hyperlink"/>
            <w:b/>
            <w:bCs/>
          </w:rPr>
          <w:t>Bostock v. Clayton County</w:t>
        </w:r>
      </w:hyperlink>
      <w:r w:rsidRPr="00EC1817">
        <w:t>, which prohibits employment discrimination based on sexual orientation and gender identity under Title VII of the Civil Rights Act of 1964. While these laws are significant, comprehensive protections in areas like housing and public accommodations are still sought through pending legislation such as the </w:t>
      </w:r>
      <w:r w:rsidRPr="00EC1817">
        <w:rPr>
          <w:b/>
          <w:bCs/>
        </w:rPr>
        <w:t>Equality Act</w:t>
      </w:r>
      <w:r w:rsidRPr="00EC1817">
        <w:t>, which is not yet federal law. </w:t>
      </w:r>
    </w:p>
    <w:p w14:paraId="06FAE3A5" w14:textId="77777777" w:rsidR="00EC1817" w:rsidRPr="00EC1817" w:rsidRDefault="00EC1817" w:rsidP="00EC1817">
      <w:pPr>
        <w:rPr>
          <w:b/>
          <w:bCs/>
        </w:rPr>
      </w:pPr>
      <w:r w:rsidRPr="00EC1817">
        <w:rPr>
          <w:b/>
          <w:bCs/>
        </w:rPr>
        <w:t xml:space="preserve">Existing federal </w:t>
      </w:r>
      <w:proofErr w:type="gramStart"/>
      <w:r w:rsidRPr="00EC1817">
        <w:rPr>
          <w:b/>
          <w:bCs/>
        </w:rPr>
        <w:t>protections</w:t>
      </w:r>
      <w:proofErr w:type="gramEnd"/>
    </w:p>
    <w:p w14:paraId="61FBF726" w14:textId="77777777" w:rsidR="00EC1817" w:rsidRPr="00EC1817" w:rsidRDefault="00EC1817" w:rsidP="00EC1817">
      <w:pPr>
        <w:numPr>
          <w:ilvl w:val="0"/>
          <w:numId w:val="1"/>
        </w:numPr>
      </w:pPr>
      <w:r w:rsidRPr="00EC1817">
        <w:rPr>
          <w:b/>
          <w:bCs/>
        </w:rPr>
        <w:t>Marital rights:</w:t>
      </w:r>
    </w:p>
    <w:p w14:paraId="1A454E37" w14:textId="77777777" w:rsidR="00EC1817" w:rsidRPr="00EC1817" w:rsidRDefault="00EC1817" w:rsidP="00EC1817">
      <w:pPr>
        <w:numPr>
          <w:ilvl w:val="1"/>
          <w:numId w:val="1"/>
        </w:numPr>
      </w:pPr>
      <w:r w:rsidRPr="00EC1817">
        <w:t>The </w:t>
      </w:r>
      <w:r w:rsidRPr="00EC1817">
        <w:rPr>
          <w:b/>
          <w:bCs/>
        </w:rPr>
        <w:t>Respect for Marriage Act</w:t>
      </w:r>
      <w:r w:rsidRPr="00EC1817">
        <w:t> requires the federal government and all states to recognize valid same-sex and interracial marriages performed in any state.</w:t>
      </w:r>
    </w:p>
    <w:p w14:paraId="6FD64C8C" w14:textId="77777777" w:rsidR="00EC1817" w:rsidRPr="00EC1817" w:rsidRDefault="00EC1817" w:rsidP="00EC1817">
      <w:pPr>
        <w:numPr>
          <w:ilvl w:val="1"/>
          <w:numId w:val="1"/>
        </w:numPr>
      </w:pPr>
      <w:r w:rsidRPr="00EC1817">
        <w:t>The </w:t>
      </w:r>
      <w:hyperlink r:id="rId6" w:history="1">
        <w:r w:rsidRPr="00EC1817">
          <w:rPr>
            <w:rStyle w:val="Hyperlink"/>
            <w:b/>
            <w:bCs/>
          </w:rPr>
          <w:t>Obergefell v. Hodges</w:t>
        </w:r>
      </w:hyperlink>
      <w:r w:rsidRPr="00EC1817">
        <w:t> Supreme Court decision (2015) established the right to marry for same-sex couples nationwide, based on the Fourteenth Amendment.</w:t>
      </w:r>
    </w:p>
    <w:p w14:paraId="0B439C63" w14:textId="77777777" w:rsidR="00EC1817" w:rsidRPr="00EC1817" w:rsidRDefault="00EC1817" w:rsidP="00EC1817">
      <w:pPr>
        <w:numPr>
          <w:ilvl w:val="0"/>
          <w:numId w:val="1"/>
        </w:numPr>
      </w:pPr>
      <w:r w:rsidRPr="00EC1817">
        <w:rPr>
          <w:b/>
          <w:bCs/>
        </w:rPr>
        <w:t>Employment discrimination:</w:t>
      </w:r>
    </w:p>
    <w:p w14:paraId="3BD32974" w14:textId="77777777" w:rsidR="00EC1817" w:rsidRPr="00EC1817" w:rsidRDefault="00EC1817" w:rsidP="00EC1817">
      <w:pPr>
        <w:numPr>
          <w:ilvl w:val="1"/>
          <w:numId w:val="1"/>
        </w:numPr>
      </w:pPr>
      <w:r w:rsidRPr="00EC1817">
        <w:t>The Supreme Court's 2020 ruling in </w:t>
      </w:r>
      <w:r w:rsidRPr="00EC1817">
        <w:rPr>
          <w:b/>
          <w:bCs/>
        </w:rPr>
        <w:t>Bostock v. Clayton County</w:t>
      </w:r>
      <w:r w:rsidRPr="00EC1817">
        <w:t> determined that the prohibition of "sex" discrimination in </w:t>
      </w:r>
      <w:hyperlink r:id="rId7" w:history="1">
        <w:r w:rsidRPr="00EC1817">
          <w:rPr>
            <w:rStyle w:val="Hyperlink"/>
            <w:b/>
            <w:bCs/>
          </w:rPr>
          <w:t>Title VII of the Civil Rights Act of 1964</w:t>
        </w:r>
      </w:hyperlink>
      <w:r w:rsidRPr="00EC1817">
        <w:t> includes discrimination based on sexual orientation and gender identity.</w:t>
      </w:r>
    </w:p>
    <w:p w14:paraId="2EEA166B" w14:textId="77777777" w:rsidR="00EC1817" w:rsidRPr="00EC1817" w:rsidRDefault="00EC1817" w:rsidP="00EC1817">
      <w:pPr>
        <w:numPr>
          <w:ilvl w:val="1"/>
          <w:numId w:val="1"/>
        </w:numPr>
      </w:pPr>
      <w:r w:rsidRPr="00EC1817">
        <w:t>This means it is illegal for employers to fire, refuse to hire, or discriminate against an employee because of their sexual orientation or gender identity. </w:t>
      </w:r>
    </w:p>
    <w:p w14:paraId="656AC117" w14:textId="77777777" w:rsidR="00EC1817" w:rsidRPr="00EC1817" w:rsidRDefault="00EC1817" w:rsidP="00EC1817">
      <w:pPr>
        <w:rPr>
          <w:b/>
          <w:bCs/>
        </w:rPr>
      </w:pPr>
      <w:r w:rsidRPr="00EC1817">
        <w:rPr>
          <w:b/>
          <w:bCs/>
        </w:rPr>
        <w:t>Areas lacking federal protection </w:t>
      </w:r>
    </w:p>
    <w:p w14:paraId="4B7E6E5D" w14:textId="77777777" w:rsidR="00EC1817" w:rsidRPr="00EC1817" w:rsidRDefault="00EC1817" w:rsidP="00EC1817">
      <w:pPr>
        <w:numPr>
          <w:ilvl w:val="0"/>
          <w:numId w:val="2"/>
        </w:numPr>
      </w:pPr>
      <w:r w:rsidRPr="00EC1817">
        <w:rPr>
          <w:b/>
          <w:bCs/>
        </w:rPr>
        <w:t>Public accommodations:</w:t>
      </w:r>
      <w:r w:rsidRPr="00EC1817">
        <w:t> There is no federal law explicitly prohibiting discrimination based on sexual orientation or gender identity in public accommodations, such as restaurants, theaters, or retail stores.</w:t>
      </w:r>
    </w:p>
    <w:p w14:paraId="4C5CCBE9" w14:textId="77777777" w:rsidR="00EC1817" w:rsidRPr="00EC1817" w:rsidRDefault="00EC1817" w:rsidP="00EC1817">
      <w:pPr>
        <w:numPr>
          <w:ilvl w:val="0"/>
          <w:numId w:val="2"/>
        </w:numPr>
      </w:pPr>
      <w:r w:rsidRPr="00EC1817">
        <w:rPr>
          <w:b/>
          <w:bCs/>
        </w:rPr>
        <w:t>Housing and other areas:</w:t>
      </w:r>
      <w:r w:rsidRPr="00EC1817">
        <w:t> Explicit protections against discrimination based on sexual orientation and gender identity in housing, credit, jury service, and federally funded programs are not yet federal law. </w:t>
      </w:r>
    </w:p>
    <w:p w14:paraId="1F079997" w14:textId="77777777" w:rsidR="00EC1817" w:rsidRPr="00EC1817" w:rsidRDefault="00EC1817" w:rsidP="00EC1817">
      <w:pPr>
        <w:rPr>
          <w:b/>
          <w:bCs/>
        </w:rPr>
      </w:pPr>
      <w:r w:rsidRPr="00EC1817">
        <w:rPr>
          <w:b/>
          <w:bCs/>
        </w:rPr>
        <w:t>Proposed federal legislation</w:t>
      </w:r>
    </w:p>
    <w:p w14:paraId="019BF792" w14:textId="77777777" w:rsidR="00EC1817" w:rsidRPr="00EC1817" w:rsidRDefault="00EC1817" w:rsidP="00EC1817">
      <w:pPr>
        <w:numPr>
          <w:ilvl w:val="0"/>
          <w:numId w:val="3"/>
        </w:numPr>
      </w:pPr>
      <w:r w:rsidRPr="00EC1817">
        <w:rPr>
          <w:b/>
          <w:bCs/>
        </w:rPr>
        <w:t>The Equality Act:</w:t>
      </w:r>
      <w:r w:rsidRPr="00EC1817">
        <w:t> This proposed law would amend existing civil rights laws to explicitly add sexual orientation and gender identity as protected characteristics in a wide range of areas, including employment, housing, public accommodations, and federally funded programs.</w:t>
      </w:r>
    </w:p>
    <w:p w14:paraId="57755AFA" w14:textId="77777777" w:rsidR="00EC1817" w:rsidRPr="00EC1817" w:rsidRDefault="00EC1817" w:rsidP="00EC1817">
      <w:pPr>
        <w:numPr>
          <w:ilvl w:val="0"/>
          <w:numId w:val="3"/>
        </w:numPr>
      </w:pPr>
      <w:r w:rsidRPr="00EC1817">
        <w:rPr>
          <w:b/>
          <w:bCs/>
        </w:rPr>
        <w:lastRenderedPageBreak/>
        <w:t>Other proposed legislation:</w:t>
      </w:r>
    </w:p>
    <w:p w14:paraId="4C3018D7" w14:textId="77777777" w:rsidR="00EC1817" w:rsidRPr="00EC1817" w:rsidRDefault="00EC1817" w:rsidP="00EC1817">
      <w:pPr>
        <w:numPr>
          <w:ilvl w:val="1"/>
          <w:numId w:val="3"/>
        </w:numPr>
      </w:pPr>
      <w:r w:rsidRPr="00EC1817">
        <w:t>The </w:t>
      </w:r>
      <w:hyperlink r:id="rId8" w:history="1">
        <w:r w:rsidRPr="00EC1817">
          <w:rPr>
            <w:rStyle w:val="Hyperlink"/>
            <w:b/>
            <w:bCs/>
          </w:rPr>
          <w:t>End Racial and Religious Profiling Act</w:t>
        </w:r>
      </w:hyperlink>
      <w:r w:rsidRPr="00EC1817">
        <w:t> would prohibit discrimination based on sexual orientation by law enforcement.</w:t>
      </w:r>
    </w:p>
    <w:p w14:paraId="6C35C43F" w14:textId="77777777" w:rsidR="00EC1817" w:rsidRPr="00EC1817" w:rsidRDefault="00EC1817" w:rsidP="00EC1817">
      <w:pPr>
        <w:numPr>
          <w:ilvl w:val="1"/>
          <w:numId w:val="3"/>
        </w:numPr>
      </w:pPr>
      <w:r w:rsidRPr="00EC1817">
        <w:t>The </w:t>
      </w:r>
      <w:hyperlink r:id="rId9" w:history="1">
        <w:r w:rsidRPr="00EC1817">
          <w:rPr>
            <w:rStyle w:val="Hyperlink"/>
            <w:b/>
            <w:bCs/>
          </w:rPr>
          <w:t>Every Child Deserves a Family Act</w:t>
        </w:r>
      </w:hyperlink>
      <w:r w:rsidRPr="00EC1817">
        <w:t> would prevent the federal government from funding child welfare agencies that discriminate against LGBTQ+ people seeking to foster or adopt. </w:t>
      </w:r>
    </w:p>
    <w:p w14:paraId="3FAFA3E8" w14:textId="77777777" w:rsidR="007A6F95" w:rsidRPr="00EC1817" w:rsidRDefault="007A6F95" w:rsidP="00EC1817"/>
    <w:sectPr w:rsidR="007A6F95" w:rsidRPr="00EC18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60F3"/>
    <w:multiLevelType w:val="multilevel"/>
    <w:tmpl w:val="3FE0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46EBF"/>
    <w:multiLevelType w:val="multilevel"/>
    <w:tmpl w:val="ACC48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72E77"/>
    <w:multiLevelType w:val="multilevel"/>
    <w:tmpl w:val="79145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820174">
    <w:abstractNumId w:val="2"/>
  </w:num>
  <w:num w:numId="2" w16cid:durableId="224683820">
    <w:abstractNumId w:val="0"/>
  </w:num>
  <w:num w:numId="3" w16cid:durableId="213864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17"/>
    <w:rsid w:val="00046B32"/>
    <w:rsid w:val="00762CEE"/>
    <w:rsid w:val="007A6F95"/>
    <w:rsid w:val="00BC2897"/>
    <w:rsid w:val="00D156E0"/>
    <w:rsid w:val="00EC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371E"/>
  <w15:chartTrackingRefBased/>
  <w15:docId w15:val="{B0F6F3E2-9E9A-4F29-B663-473F7060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81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C181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C181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C181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C181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C1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81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181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181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181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181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1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817"/>
    <w:rPr>
      <w:rFonts w:eastAsiaTheme="majorEastAsia" w:cstheme="majorBidi"/>
      <w:color w:val="272727" w:themeColor="text1" w:themeTint="D8"/>
    </w:rPr>
  </w:style>
  <w:style w:type="paragraph" w:styleId="Title">
    <w:name w:val="Title"/>
    <w:basedOn w:val="Normal"/>
    <w:next w:val="Normal"/>
    <w:link w:val="TitleChar"/>
    <w:uiPriority w:val="10"/>
    <w:qFormat/>
    <w:rsid w:val="00EC1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8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817"/>
    <w:rPr>
      <w:i/>
      <w:iCs/>
      <w:color w:val="404040" w:themeColor="text1" w:themeTint="BF"/>
    </w:rPr>
  </w:style>
  <w:style w:type="paragraph" w:styleId="ListParagraph">
    <w:name w:val="List Paragraph"/>
    <w:basedOn w:val="Normal"/>
    <w:uiPriority w:val="34"/>
    <w:qFormat/>
    <w:rsid w:val="00EC1817"/>
    <w:pPr>
      <w:ind w:left="720"/>
      <w:contextualSpacing/>
    </w:pPr>
  </w:style>
  <w:style w:type="character" w:styleId="IntenseEmphasis">
    <w:name w:val="Intense Emphasis"/>
    <w:basedOn w:val="DefaultParagraphFont"/>
    <w:uiPriority w:val="21"/>
    <w:qFormat/>
    <w:rsid w:val="00EC1817"/>
    <w:rPr>
      <w:i/>
      <w:iCs/>
      <w:color w:val="2E74B5" w:themeColor="accent1" w:themeShade="BF"/>
    </w:rPr>
  </w:style>
  <w:style w:type="paragraph" w:styleId="IntenseQuote">
    <w:name w:val="Intense Quote"/>
    <w:basedOn w:val="Normal"/>
    <w:next w:val="Normal"/>
    <w:link w:val="IntenseQuoteChar"/>
    <w:uiPriority w:val="30"/>
    <w:qFormat/>
    <w:rsid w:val="00EC18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C1817"/>
    <w:rPr>
      <w:i/>
      <w:iCs/>
      <w:color w:val="2E74B5" w:themeColor="accent1" w:themeShade="BF"/>
    </w:rPr>
  </w:style>
  <w:style w:type="character" w:styleId="IntenseReference">
    <w:name w:val="Intense Reference"/>
    <w:basedOn w:val="DefaultParagraphFont"/>
    <w:uiPriority w:val="32"/>
    <w:qFormat/>
    <w:rsid w:val="00EC1817"/>
    <w:rPr>
      <w:b/>
      <w:bCs/>
      <w:smallCaps/>
      <w:color w:val="2E74B5" w:themeColor="accent1" w:themeShade="BF"/>
      <w:spacing w:val="5"/>
    </w:rPr>
  </w:style>
  <w:style w:type="character" w:styleId="Hyperlink">
    <w:name w:val="Hyperlink"/>
    <w:basedOn w:val="DefaultParagraphFont"/>
    <w:uiPriority w:val="99"/>
    <w:unhideWhenUsed/>
    <w:rsid w:val="00EC1817"/>
    <w:rPr>
      <w:color w:val="0563C1" w:themeColor="hyperlink"/>
      <w:u w:val="single"/>
    </w:rPr>
  </w:style>
  <w:style w:type="character" w:styleId="UnresolvedMention">
    <w:name w:val="Unresolved Mention"/>
    <w:basedOn w:val="DefaultParagraphFont"/>
    <w:uiPriority w:val="99"/>
    <w:semiHidden/>
    <w:unhideWhenUsed/>
    <w:rsid w:val="00EC1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nd+Racial+and+Religious+Profiling+Act&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CBAD"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ogle.com/search?q=Title+VII+of+the+Civil+Rights+Act+of+1964&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BBA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Obergefell+v.+Hodges&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BBAD" TargetMode="External"/><Relationship Id="rId11" Type="http://schemas.openxmlformats.org/officeDocument/2006/relationships/theme" Target="theme/theme1.xml"/><Relationship Id="rId5" Type="http://schemas.openxmlformats.org/officeDocument/2006/relationships/hyperlink" Target="https://www.google.com/search?q=Bostock+v.+Clayton+County&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ARA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Every+Child+Deserves+a+Family+Act&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CBAF"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D74FB5C-1457-44E1-AE8F-6FC47C157DA9}"/>
</file>

<file path=customXml/itemProps2.xml><?xml version="1.0" encoding="utf-8"?>
<ds:datastoreItem xmlns:ds="http://schemas.openxmlformats.org/officeDocument/2006/customXml" ds:itemID="{8ECE3F75-F59D-4FF4-A935-87440906B97A}"/>
</file>

<file path=customXml/itemProps3.xml><?xml version="1.0" encoding="utf-8"?>
<ds:datastoreItem xmlns:ds="http://schemas.openxmlformats.org/officeDocument/2006/customXml" ds:itemID="{E13716A9-782A-40F5-AC01-E4DE8D2445C4}"/>
</file>

<file path=docProps/app.xml><?xml version="1.0" encoding="utf-8"?>
<Properties xmlns="http://schemas.openxmlformats.org/officeDocument/2006/extended-properties" xmlns:vt="http://schemas.openxmlformats.org/officeDocument/2006/docPropsVTypes">
  <Template>Normal</Template>
  <TotalTime>11</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2025-11-08T17:11:00Z</dcterms:created>
  <dcterms:modified xsi:type="dcterms:W3CDTF">2025-11-08T18:01:00Z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3991300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