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6E54B4" w:rsidP="7F833EF2" w:rsidRDefault="00EF70BD" w14:paraId="6D94AE97" w14:textId="3D7C661A">
      <w:pPr>
        <w:rPr>
          <w:rFonts w:cs="Calibri" w:cstheme="minorAscii"/>
          <w:b w:val="1"/>
          <w:bCs w:val="1"/>
          <w:sz w:val="40"/>
          <w:szCs w:val="40"/>
        </w:rPr>
      </w:pPr>
      <w:r w:rsidRPr="7F833EF2" w:rsidR="7F833EF2">
        <w:rPr>
          <w:rFonts w:cs="Calibri" w:cstheme="minorAscii"/>
          <w:b w:val="1"/>
          <w:bCs w:val="1"/>
          <w:sz w:val="40"/>
          <w:szCs w:val="40"/>
        </w:rPr>
        <w:t xml:space="preserve">Levels of </w:t>
      </w:r>
      <w:bookmarkStart w:name="_GoBack" w:id="0"/>
      <w:bookmarkEnd w:id="0"/>
      <w:r w:rsidRPr="7F833EF2" w:rsidR="7F833EF2">
        <w:rPr>
          <w:rFonts w:cs="Calibri" w:cstheme="minorAscii"/>
          <w:b w:val="1"/>
          <w:bCs w:val="1"/>
          <w:sz w:val="40"/>
          <w:szCs w:val="40"/>
        </w:rPr>
        <w:t xml:space="preserve">Expressions of </w:t>
      </w:r>
      <w:r w:rsidRPr="7F833EF2" w:rsidR="7F833EF2">
        <w:rPr>
          <w:rFonts w:cs="Calibri" w:cstheme="minorAscii"/>
          <w:b w:val="1"/>
          <w:bCs w:val="1"/>
          <w:sz w:val="40"/>
          <w:szCs w:val="40"/>
        </w:rPr>
        <w:t>Oppression</w:t>
      </w:r>
    </w:p>
    <w:tbl>
      <w:tblPr>
        <w:tblStyle w:val="TableGrid"/>
        <w:tblW w:w="0" w:type="auto"/>
        <w:tblBorders>
          <w:top w:val="single" w:color="auto" w:sz="18" w:space="0"/>
          <w:left w:val="single" w:color="auto" w:sz="18" w:space="0"/>
          <w:bottom w:val="single" w:color="auto" w:sz="18" w:space="0"/>
          <w:right w:val="single" w:color="auto" w:sz="18" w:space="0"/>
          <w:insideH w:val="single" w:color="auto" w:sz="18" w:space="0"/>
          <w:insideV w:val="single" w:color="auto" w:sz="18" w:space="0"/>
        </w:tblBorders>
        <w:tblLook w:val="04A0" w:firstRow="1" w:lastRow="0" w:firstColumn="1" w:lastColumn="0" w:noHBand="0" w:noVBand="1"/>
      </w:tblPr>
      <w:tblGrid>
        <w:gridCol w:w="613"/>
        <w:gridCol w:w="4246"/>
        <w:gridCol w:w="613"/>
        <w:gridCol w:w="4418"/>
      </w:tblGrid>
      <w:tr w:rsidR="00DC47EC" w:rsidTr="7F833EF2" w14:paraId="066C1D89" w14:textId="77777777">
        <w:tc>
          <w:tcPr>
            <w:tcW w:w="607" w:type="dxa"/>
            <w:vMerge w:val="restart"/>
            <w:shd w:val="clear" w:color="auto" w:fill="E7E6E6" w:themeFill="background2"/>
            <w:tcMar/>
            <w:textDirection w:val="btLr"/>
          </w:tcPr>
          <w:p w:rsidRPr="00DC47EC" w:rsidR="00DC47EC" w:rsidP="00DC47EC" w:rsidRDefault="00DC47EC" w14:paraId="4F908318" w14:textId="04C15965">
            <w:pPr>
              <w:ind w:left="113" w:right="113"/>
              <w:jc w:val="center"/>
              <w:rPr>
                <w:rFonts w:cstheme="minorHAnsi"/>
                <w:b/>
                <w:sz w:val="32"/>
                <w:szCs w:val="32"/>
              </w:rPr>
            </w:pPr>
            <w:r w:rsidRPr="00DC47EC">
              <w:rPr>
                <w:rFonts w:cstheme="minorHAnsi"/>
                <w:b/>
                <w:bCs/>
                <w:i/>
                <w:sz w:val="32"/>
                <w:szCs w:val="32"/>
              </w:rPr>
              <w:t>Individual</w:t>
            </w:r>
          </w:p>
        </w:tc>
        <w:tc>
          <w:tcPr>
            <w:tcW w:w="4337" w:type="dxa"/>
            <w:tcMar/>
          </w:tcPr>
          <w:p w:rsidRPr="006C51D1" w:rsidR="00DC47EC" w:rsidP="7F833EF2" w:rsidRDefault="00DC47EC" w14:paraId="58B1EA1C" w14:textId="4E524836">
            <w:pPr>
              <w:autoSpaceDE w:val="0"/>
              <w:autoSpaceDN w:val="0"/>
              <w:adjustRightInd w:val="0"/>
              <w:rPr>
                <w:rFonts w:cs="Calibri" w:cstheme="minorAscii"/>
                <w:sz w:val="24"/>
                <w:szCs w:val="24"/>
              </w:rPr>
            </w:pPr>
            <w:r w:rsidRPr="7F833EF2" w:rsidR="7F833EF2">
              <w:rPr>
                <w:rFonts w:cs="Calibri" w:cstheme="minorAscii"/>
                <w:b w:val="1"/>
                <w:bCs w:val="1"/>
                <w:i w:val="1"/>
                <w:iCs w:val="1"/>
                <w:sz w:val="24"/>
                <w:szCs w:val="24"/>
              </w:rPr>
              <w:t xml:space="preserve">Internalized Oppression </w:t>
            </w:r>
            <w:r w:rsidRPr="7F833EF2" w:rsidR="7F833EF2">
              <w:rPr>
                <w:rFonts w:cs="Calibri" w:cstheme="minorAscii"/>
                <w:sz w:val="24"/>
                <w:szCs w:val="24"/>
              </w:rPr>
              <w:t>lies within individuals. These are our private beliefs and biases about others, influenced by our culture.</w:t>
            </w:r>
          </w:p>
          <w:p w:rsidR="00DC47EC" w:rsidRDefault="00DC47EC" w14:paraId="76021F22" w14:textId="77777777">
            <w:pPr>
              <w:rPr>
                <w:rFonts w:cstheme="minorHAnsi"/>
                <w:b/>
                <w:sz w:val="40"/>
                <w:szCs w:val="40"/>
              </w:rPr>
            </w:pPr>
          </w:p>
        </w:tc>
        <w:tc>
          <w:tcPr>
            <w:tcW w:w="433" w:type="dxa"/>
            <w:vMerge w:val="restart"/>
            <w:shd w:val="clear" w:color="auto" w:fill="E7E6E6" w:themeFill="background2"/>
            <w:tcMar/>
            <w:textDirection w:val="btLr"/>
          </w:tcPr>
          <w:p w:rsidRPr="00DC47EC" w:rsidR="00DC47EC" w:rsidP="00DC47EC" w:rsidRDefault="00DC47EC" w14:paraId="4A715F60" w14:textId="37AA13E7">
            <w:pPr>
              <w:ind w:left="113" w:right="113"/>
              <w:jc w:val="center"/>
              <w:rPr>
                <w:rFonts w:cstheme="minorHAnsi"/>
                <w:b/>
                <w:sz w:val="32"/>
                <w:szCs w:val="32"/>
              </w:rPr>
            </w:pPr>
            <w:r w:rsidRPr="00DC47EC">
              <w:rPr>
                <w:rFonts w:cstheme="minorHAnsi"/>
                <w:b/>
                <w:bCs/>
                <w:i/>
                <w:sz w:val="32"/>
                <w:szCs w:val="32"/>
              </w:rPr>
              <w:t>Systemic</w:t>
            </w:r>
          </w:p>
        </w:tc>
        <w:tc>
          <w:tcPr>
            <w:tcW w:w="4513" w:type="dxa"/>
            <w:tcMar/>
          </w:tcPr>
          <w:p w:rsidRPr="006C51D1" w:rsidR="00DC47EC" w:rsidP="7F833EF2" w:rsidRDefault="00DC47EC" w14:paraId="58DDE57C" w14:textId="67838969">
            <w:pPr>
              <w:autoSpaceDE w:val="0"/>
              <w:autoSpaceDN w:val="0"/>
              <w:adjustRightInd w:val="0"/>
              <w:rPr>
                <w:rFonts w:cs="Calibri" w:cstheme="minorAscii"/>
                <w:sz w:val="24"/>
                <w:szCs w:val="24"/>
              </w:rPr>
            </w:pPr>
            <w:r w:rsidRPr="7F833EF2" w:rsidR="7F833EF2">
              <w:rPr>
                <w:rFonts w:cs="Calibri" w:cstheme="minorAscii"/>
                <w:b w:val="1"/>
                <w:bCs w:val="1"/>
                <w:i w:val="1"/>
                <w:iCs w:val="1"/>
                <w:sz w:val="24"/>
                <w:szCs w:val="24"/>
              </w:rPr>
              <w:t xml:space="preserve">Institutional Oppression </w:t>
            </w:r>
            <w:r w:rsidRPr="7F833EF2" w:rsidR="7F833EF2">
              <w:rPr>
                <w:rFonts w:cs="Calibri" w:cstheme="minorAscii"/>
                <w:sz w:val="24"/>
                <w:szCs w:val="24"/>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w:t>
            </w:r>
          </w:p>
          <w:p w:rsidR="00DC47EC" w:rsidRDefault="00DC47EC" w14:paraId="7A64C1CF" w14:textId="77777777">
            <w:pPr>
              <w:rPr>
                <w:rFonts w:cstheme="minorHAnsi"/>
                <w:b/>
                <w:sz w:val="40"/>
                <w:szCs w:val="40"/>
              </w:rPr>
            </w:pPr>
          </w:p>
        </w:tc>
      </w:tr>
      <w:tr w:rsidR="00DC47EC" w:rsidTr="7F833EF2" w14:paraId="4994F7F6" w14:textId="77777777">
        <w:trPr>
          <w:trHeight w:val="3726"/>
        </w:trPr>
        <w:tc>
          <w:tcPr>
            <w:tcW w:w="607" w:type="dxa"/>
            <w:vMerge/>
            <w:tcMar/>
          </w:tcPr>
          <w:p w:rsidR="00DC47EC" w:rsidRDefault="00DC47EC" w14:paraId="7CB5C3A4" w14:textId="77777777">
            <w:pPr>
              <w:rPr>
                <w:rFonts w:cstheme="minorHAnsi"/>
                <w:b/>
                <w:sz w:val="40"/>
                <w:szCs w:val="40"/>
              </w:rPr>
            </w:pPr>
          </w:p>
        </w:tc>
        <w:tc>
          <w:tcPr>
            <w:tcW w:w="4337" w:type="dxa"/>
            <w:tcMar/>
          </w:tcPr>
          <w:p w:rsidRPr="006C51D1" w:rsidR="00DC47EC" w:rsidP="7F833EF2" w:rsidRDefault="00DC47EC" w14:paraId="0F562E47" w14:textId="56AA86F5">
            <w:pPr>
              <w:autoSpaceDE w:val="0"/>
              <w:autoSpaceDN w:val="0"/>
              <w:adjustRightInd w:val="0"/>
              <w:rPr>
                <w:rFonts w:cs="Calibri" w:cstheme="minorAscii"/>
                <w:sz w:val="24"/>
                <w:szCs w:val="24"/>
              </w:rPr>
            </w:pPr>
            <w:r w:rsidRPr="7F833EF2" w:rsidR="7F833EF2">
              <w:rPr>
                <w:rFonts w:cs="Calibri" w:cstheme="minorAscii"/>
                <w:b w:val="1"/>
                <w:bCs w:val="1"/>
                <w:i w:val="1"/>
                <w:iCs w:val="1"/>
                <w:sz w:val="24"/>
                <w:szCs w:val="24"/>
              </w:rPr>
              <w:t xml:space="preserve">Interpersonal Oppression </w:t>
            </w:r>
            <w:r w:rsidRPr="7F833EF2" w:rsidR="7F833EF2">
              <w:rPr>
                <w:rFonts w:cs="Calibri" w:cstheme="minorAscii"/>
                <w:sz w:val="24"/>
                <w:szCs w:val="24"/>
              </w:rPr>
              <w:t>occurs between individuals. Once we bring our private beliefs into our interactions with others, we are now in the interpersonal realm.</w:t>
            </w:r>
          </w:p>
          <w:p w:rsidR="00DC47EC" w:rsidRDefault="00DC47EC" w14:paraId="641F7797" w14:textId="77777777">
            <w:pPr>
              <w:rPr>
                <w:rFonts w:cstheme="minorHAnsi"/>
                <w:b/>
                <w:sz w:val="40"/>
                <w:szCs w:val="40"/>
              </w:rPr>
            </w:pPr>
          </w:p>
        </w:tc>
        <w:tc>
          <w:tcPr>
            <w:tcW w:w="433" w:type="dxa"/>
            <w:vMerge/>
            <w:tcMar/>
          </w:tcPr>
          <w:p w:rsidR="00DC47EC" w:rsidRDefault="00DC47EC" w14:paraId="263BD65D" w14:textId="77777777">
            <w:pPr>
              <w:rPr>
                <w:rFonts w:cstheme="minorHAnsi"/>
                <w:b/>
                <w:sz w:val="40"/>
                <w:szCs w:val="40"/>
              </w:rPr>
            </w:pPr>
          </w:p>
        </w:tc>
        <w:tc>
          <w:tcPr>
            <w:tcW w:w="4513" w:type="dxa"/>
            <w:tcMar/>
          </w:tcPr>
          <w:p w:rsidRPr="006C51D1" w:rsidR="00DC47EC" w:rsidP="7F833EF2" w:rsidRDefault="00DC47EC" w14:paraId="12B91ED5" w14:textId="45EA6137">
            <w:pPr>
              <w:autoSpaceDE w:val="0"/>
              <w:autoSpaceDN w:val="0"/>
              <w:adjustRightInd w:val="0"/>
              <w:rPr>
                <w:rFonts w:cs="Calibri" w:cstheme="minorAscii"/>
                <w:sz w:val="24"/>
                <w:szCs w:val="24"/>
              </w:rPr>
            </w:pPr>
            <w:r w:rsidRPr="7F833EF2" w:rsidR="7F833EF2">
              <w:rPr>
                <w:rFonts w:cs="Calibri" w:cstheme="minorAscii"/>
                <w:b w:val="1"/>
                <w:bCs w:val="1"/>
                <w:i w:val="1"/>
                <w:iCs w:val="1"/>
                <w:sz w:val="24"/>
                <w:szCs w:val="24"/>
              </w:rPr>
              <w:t>Structural</w:t>
            </w:r>
            <w:r w:rsidRPr="7F833EF2" w:rsidR="7F833EF2">
              <w:rPr>
                <w:rFonts w:cs="Calibri" w:cstheme="minorAscii"/>
                <w:b w:val="1"/>
                <w:bCs w:val="1"/>
                <w:sz w:val="24"/>
                <w:szCs w:val="24"/>
              </w:rPr>
              <w:t xml:space="preserve"> </w:t>
            </w:r>
            <w:r w:rsidRPr="7F833EF2" w:rsidR="7F833EF2">
              <w:rPr>
                <w:rFonts w:cs="Calibri" w:cstheme="minorAscii"/>
                <w:b w:val="1"/>
                <w:bCs w:val="1"/>
                <w:i w:val="1"/>
                <w:iCs w:val="1"/>
                <w:sz w:val="24"/>
                <w:szCs w:val="24"/>
              </w:rPr>
              <w:t xml:space="preserve">Oppression </w:t>
            </w:r>
            <w:r w:rsidRPr="7F833EF2" w:rsidR="7F833EF2">
              <w:rPr>
                <w:rFonts w:cs="Calibri" w:cstheme="minorAscii"/>
                <w:sz w:val="24"/>
                <w:szCs w:val="24"/>
              </w:rPr>
              <w:t xml:space="preserve">is </w:t>
            </w:r>
            <w:proofErr w:type="gramStart"/>
            <w:r w:rsidRPr="7F833EF2" w:rsidR="7F833EF2">
              <w:rPr>
                <w:rFonts w:cs="Calibri" w:cstheme="minorAscii"/>
                <w:sz w:val="24"/>
                <w:szCs w:val="24"/>
              </w:rPr>
              <w:t>bias</w:t>
            </w:r>
            <w:proofErr w:type="gramEnd"/>
            <w:r w:rsidRPr="7F833EF2" w:rsidR="7F833EF2">
              <w:rPr>
                <w:rFonts w:cs="Calibri" w:cstheme="minorAscii"/>
                <w:sz w:val="24"/>
                <w:szCs w:val="24"/>
              </w:rPr>
              <w:t xml:space="preserve"> across institutions and society. It’s the cumulative and compounded effects of an array of factors that systematically privilege some and disadvantage others.</w:t>
            </w:r>
          </w:p>
          <w:p w:rsidR="00DC47EC" w:rsidRDefault="00DC47EC" w14:paraId="609B86F3" w14:textId="77777777">
            <w:pPr>
              <w:rPr>
                <w:rFonts w:cstheme="minorHAnsi"/>
                <w:b/>
                <w:sz w:val="40"/>
                <w:szCs w:val="40"/>
              </w:rPr>
            </w:pPr>
          </w:p>
        </w:tc>
      </w:tr>
    </w:tbl>
    <w:p w:rsidRPr="006C51D1" w:rsidR="003E6441" w:rsidRDefault="003E6441" w14:paraId="4C3222C8" w14:textId="08C67D9A">
      <w:pPr>
        <w:rPr>
          <w:rFonts w:cstheme="minorHAnsi"/>
        </w:rPr>
      </w:pPr>
    </w:p>
    <w:p w:rsidRPr="006C51D1" w:rsidR="003E6441" w:rsidRDefault="003E6441" w14:paraId="41CD30B9" w14:textId="77D2F063">
      <w:pPr>
        <w:rPr>
          <w:rFonts w:cstheme="minorHAnsi"/>
          <w:sz w:val="36"/>
          <w:szCs w:val="36"/>
        </w:rPr>
      </w:pPr>
    </w:p>
    <w:p w:rsidRPr="006C51D1" w:rsidR="003E6441" w:rsidRDefault="003E6441" w14:paraId="725CF53B" w14:textId="28E4E154">
      <w:pPr>
        <w:rPr>
          <w:rFonts w:cstheme="minorHAnsi"/>
          <w:b/>
          <w:sz w:val="36"/>
          <w:szCs w:val="36"/>
        </w:rPr>
      </w:pPr>
      <w:r w:rsidRPr="006C51D1">
        <w:rPr>
          <w:rFonts w:cstheme="minorHAnsi"/>
          <w:b/>
          <w:sz w:val="36"/>
          <w:szCs w:val="36"/>
        </w:rPr>
        <w:t>Key Points to Remember</w:t>
      </w:r>
    </w:p>
    <w:p w:rsidRPr="006C51D1" w:rsidR="003E6441" w:rsidP="003E6441" w:rsidRDefault="003E6441" w14:paraId="0B1A9E2B" w14:textId="59984295">
      <w:pPr>
        <w:rPr>
          <w:rFonts w:cstheme="minorHAnsi"/>
          <w:color w:val="212121"/>
          <w:sz w:val="36"/>
          <w:szCs w:val="36"/>
          <w:shd w:val="clear" w:color="auto" w:fill="FFFFFF"/>
        </w:rPr>
      </w:pPr>
      <w:r w:rsidRPr="006C51D1">
        <w:rPr>
          <w:rFonts w:cstheme="minorHAnsi"/>
          <w:color w:val="212121"/>
          <w:sz w:val="36"/>
          <w:szCs w:val="36"/>
          <w:shd w:val="clear" w:color="auto" w:fill="FFFFFF"/>
        </w:rPr>
        <w:t>Key Point 1 - There are not hard and fast lines between the levels - and changing one can affect another.</w:t>
      </w:r>
    </w:p>
    <w:p w:rsidRPr="006C51D1" w:rsidR="003E6441" w:rsidP="003E6441" w:rsidRDefault="003E6441" w14:paraId="17328003" w14:textId="77777777">
      <w:pPr>
        <w:rPr>
          <w:rFonts w:cstheme="minorHAnsi"/>
          <w:color w:val="212121"/>
          <w:sz w:val="36"/>
          <w:szCs w:val="36"/>
          <w:shd w:val="clear" w:color="auto" w:fill="FFFFFF"/>
        </w:rPr>
      </w:pPr>
    </w:p>
    <w:p w:rsidRPr="006C51D1" w:rsidR="003E6441" w:rsidP="7F833EF2" w:rsidRDefault="003E6441" w14:paraId="0765A2E6" w14:textId="413F3395">
      <w:pPr>
        <w:rPr>
          <w:rFonts w:cs="Calibri" w:cstheme="minorAscii"/>
          <w:sz w:val="36"/>
          <w:szCs w:val="36"/>
        </w:rPr>
      </w:pPr>
      <w:r w:rsidRPr="7F833EF2">
        <w:rPr>
          <w:rFonts w:cs="Calibri" w:cstheme="minorAscii"/>
          <w:color w:val="212121"/>
          <w:sz w:val="36"/>
          <w:szCs w:val="36"/>
          <w:shd w:val="clear" w:color="auto" w:fill="FFFFFF"/>
        </w:rPr>
        <w:t>Key Point 2 - The way to effect change is by addressing institutional and structural oppression- this is where injustice lives.</w:t>
      </w:r>
    </w:p>
    <w:p w:rsidRPr="006C51D1" w:rsidR="003E6441" w:rsidRDefault="003E6441" w14:paraId="2AAE0CAF" w14:textId="334F2BFA">
      <w:pPr>
        <w:rPr>
          <w:rFonts w:cstheme="minorHAnsi"/>
        </w:rPr>
      </w:pPr>
    </w:p>
    <w:p w:rsidR="7F833EF2" w:rsidP="7F833EF2" w:rsidRDefault="7F833EF2" w14:paraId="4ABECD52" w14:textId="23C11E9B">
      <w:pPr>
        <w:pStyle w:val="Normal"/>
        <w:rPr>
          <w:rFonts w:cs="Calibri" w:cstheme="minorAscii"/>
        </w:rPr>
      </w:pPr>
    </w:p>
    <w:p w:rsidR="7F833EF2" w:rsidRDefault="7F833EF2" w14:paraId="18078C79" w14:textId="22921B87">
      <w:r>
        <w:br w:type="page"/>
      </w:r>
    </w:p>
    <w:p w:rsidRPr="006C51D1" w:rsidR="006C51D1" w:rsidP="7F833EF2" w:rsidRDefault="006C51D1" w14:paraId="6D02C48F" w14:textId="3170B608">
      <w:pPr>
        <w:rPr>
          <w:rFonts w:eastAsia="Times New Roman" w:cs="Calibri" w:cstheme="minorAscii"/>
          <w:b w:val="1"/>
          <w:bCs w:val="1"/>
          <w:color w:val="000000" w:themeColor="text1"/>
          <w:sz w:val="28"/>
          <w:szCs w:val="28"/>
        </w:rPr>
      </w:pPr>
      <w:r w:rsidRPr="7F833EF2" w:rsidR="7F833EF2">
        <w:rPr>
          <w:rFonts w:eastAsia="Times New Roman" w:cs="Calibri" w:cstheme="minorAscii"/>
          <w:b w:val="1"/>
          <w:bCs w:val="1"/>
          <w:color w:val="000000" w:themeColor="text1" w:themeTint="FF" w:themeShade="FF"/>
          <w:sz w:val="32"/>
          <w:szCs w:val="32"/>
        </w:rPr>
        <w:t>Expressions of Oppression Exercise</w:t>
      </w:r>
    </w:p>
    <w:p w:rsidRPr="006C51D1" w:rsidR="006C51D1" w:rsidP="7F833EF2" w:rsidRDefault="006C51D1" w14:paraId="1E3B9DA9" w14:textId="0105F51F">
      <w:pPr>
        <w:spacing w:after="0" w:line="240" w:lineRule="auto"/>
        <w:rPr>
          <w:rFonts w:eastAsia="Times New Roman" w:cs="Calibri" w:cstheme="minorAscii"/>
        </w:rPr>
      </w:pPr>
      <w:r w:rsidRPr="7F833EF2" w:rsidR="7F833EF2">
        <w:rPr>
          <w:rFonts w:eastAsia="Times New Roman" w:cs="Calibri" w:cstheme="minorAscii"/>
          <w:b w:val="1"/>
          <w:bCs w:val="1"/>
        </w:rPr>
        <w:t>INSTRUCTIONS:</w:t>
      </w:r>
      <w:r w:rsidRPr="7F833EF2" w:rsidR="7F833EF2">
        <w:rPr>
          <w:rFonts w:eastAsia="Times New Roman" w:cs="Calibri" w:cstheme="minorAscii"/>
        </w:rPr>
        <w:t xml:space="preserve"> Please review the cases below and as a group, have a discussion on each case and decide which level of oppression each case belongs to. Please ensure there is consensus in your group in your answers.</w:t>
      </w:r>
    </w:p>
    <w:p w:rsidRPr="006C51D1" w:rsidR="006C51D1" w:rsidP="006C51D1" w:rsidRDefault="006C51D1" w14:paraId="701C0BAC" w14:textId="77777777">
      <w:pPr>
        <w:spacing w:after="0" w:line="240" w:lineRule="auto"/>
        <w:rPr>
          <w:rFonts w:eastAsia="Times New Roman" w:cstheme="minorHAnsi"/>
        </w:rPr>
      </w:pPr>
    </w:p>
    <w:p w:rsidRPr="006C51D1" w:rsidR="006C51D1" w:rsidP="006C51D1" w:rsidRDefault="006C51D1" w14:paraId="4A10D1FD" w14:textId="77777777">
      <w:pPr>
        <w:spacing w:after="0" w:line="240" w:lineRule="auto"/>
        <w:rPr>
          <w:rFonts w:eastAsia="Times New Roman" w:cstheme="minorHAnsi"/>
          <w:szCs w:val="24"/>
        </w:rPr>
      </w:pPr>
    </w:p>
    <w:tbl>
      <w:tblPr>
        <w:tblStyle w:val="TableGrid"/>
        <w:tblW w:w="9926" w:type="dxa"/>
        <w:tblLook w:val="04A0" w:firstRow="1" w:lastRow="0" w:firstColumn="1" w:lastColumn="0" w:noHBand="0" w:noVBand="1"/>
      </w:tblPr>
      <w:tblGrid>
        <w:gridCol w:w="2775"/>
        <w:gridCol w:w="7151"/>
      </w:tblGrid>
      <w:tr w:rsidRPr="006C51D1" w:rsidR="006C51D1" w:rsidTr="7F833EF2" w14:paraId="07A2D531" w14:textId="77777777">
        <w:tc>
          <w:tcPr>
            <w:tcW w:w="9926" w:type="dxa"/>
            <w:gridSpan w:val="2"/>
            <w:shd w:val="clear" w:color="auto" w:fill="514843"/>
            <w:tcMar/>
          </w:tcPr>
          <w:p w:rsidRPr="006C51D1" w:rsidR="006C51D1" w:rsidP="7F833EF2" w:rsidRDefault="006C51D1" w14:paraId="0254BB51" w14:textId="3F737F70">
            <w:pPr>
              <w:rPr>
                <w:rFonts w:eastAsia="Times New Roman" w:cs="Calibri" w:cstheme="minorAscii"/>
                <w:b w:val="1"/>
                <w:bCs w:val="1"/>
              </w:rPr>
            </w:pPr>
            <w:r w:rsidRPr="7F833EF2" w:rsidR="7F833EF2">
              <w:rPr>
                <w:rFonts w:eastAsia="Times New Roman" w:cs="Calibri" w:cstheme="minorAscii"/>
                <w:b w:val="1"/>
                <w:bCs w:val="1"/>
                <w:color w:val="FFFFCC"/>
              </w:rPr>
              <w:t>Scenario #1: Oppression in Medicine</w:t>
            </w:r>
          </w:p>
        </w:tc>
      </w:tr>
      <w:tr w:rsidRPr="006C51D1" w:rsidR="006C51D1" w:rsidTr="7F833EF2" w14:paraId="3C9E96CA" w14:textId="77777777">
        <w:trPr>
          <w:trHeight w:val="566"/>
        </w:trPr>
        <w:tc>
          <w:tcPr>
            <w:tcW w:w="2775" w:type="dxa"/>
            <w:shd w:val="clear" w:color="auto" w:fill="auto"/>
            <w:tcMar/>
          </w:tcPr>
          <w:p w:rsidRPr="006C51D1" w:rsidR="006C51D1" w:rsidP="7F833EF2" w:rsidRDefault="006C51D1" w14:paraId="0CD96637" w14:textId="0F52A4F7">
            <w:pPr>
              <w:rPr>
                <w:rFonts w:eastAsia="Times New Roman" w:cs="Calibri" w:cstheme="minorAscii"/>
                <w:b w:val="1"/>
                <w:bCs w:val="1"/>
              </w:rPr>
            </w:pPr>
            <w:r w:rsidRPr="7F833EF2" w:rsidR="7F833EF2">
              <w:rPr>
                <w:rFonts w:eastAsia="Times New Roman" w:cs="Calibri" w:cstheme="minorAscii"/>
                <w:b w:val="1"/>
                <w:bCs w:val="1"/>
              </w:rPr>
              <w:t xml:space="preserve">Expression of Oppression: </w:t>
            </w:r>
          </w:p>
        </w:tc>
        <w:tc>
          <w:tcPr>
            <w:tcW w:w="7151" w:type="dxa"/>
            <w:tcMar/>
          </w:tcPr>
          <w:p w:rsidRPr="006C51D1" w:rsidR="006C51D1" w:rsidP="00183858" w:rsidRDefault="006C51D1" w14:paraId="0B32F2F0" w14:textId="77777777">
            <w:pPr>
              <w:rPr>
                <w:rFonts w:eastAsia="Times New Roman" w:cstheme="minorHAnsi"/>
                <w:b/>
                <w:szCs w:val="24"/>
              </w:rPr>
            </w:pPr>
          </w:p>
        </w:tc>
      </w:tr>
    </w:tbl>
    <w:p w:rsidRPr="006C51D1" w:rsidR="006C51D1" w:rsidP="7F833EF2" w:rsidRDefault="00EF70BD" w14:paraId="2B0B9FC3" w14:textId="19DD85A9">
      <w:pPr>
        <w:spacing w:after="0" w:line="240" w:lineRule="auto"/>
        <w:rPr>
          <w:rFonts w:eastAsia="Times New Roman" w:cs="Calibri" w:cstheme="minorAscii"/>
          <w:noProof/>
        </w:rPr>
      </w:pPr>
      <w:hyperlink r:id="R58a55fa5dbc4498f">
        <w:r w:rsidRPr="1CF67D69" w:rsidR="1CF67D69">
          <w:rPr>
            <w:rStyle w:val="Hyperlink"/>
          </w:rPr>
          <w:t>https://www.thetaskforce.org/new-report-reveals-rampant-discrimination-against-transgender-people-by-health-providers-high-hiv-rates-and-widespread-lack-of-access-to-necessary-care-2/</w:t>
        </w:r>
      </w:hyperlink>
      <w:r w:rsidR="1CF67D69">
        <w:rPr/>
        <w:t xml:space="preserve">  </w:t>
      </w:r>
    </w:p>
    <w:p w:rsidRPr="006C51D1" w:rsidR="006C51D1" w:rsidP="7F833EF2" w:rsidRDefault="006C51D1" w14:paraId="371D42B9" w14:textId="72736C43">
      <w:pPr>
        <w:pStyle w:val="NoSpacing"/>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 xml:space="preserve"> </w:t>
      </w:r>
    </w:p>
    <w:p w:rsidRPr="006C51D1" w:rsidR="006C51D1" w:rsidP="7F833EF2" w:rsidRDefault="006C51D1" w14:paraId="75506C87" w14:textId="061281C6">
      <w:pPr>
        <w:pStyle w:val="NoSpacing"/>
        <w:rPr>
          <w:rFonts w:ascii="Calibri" w:hAnsi="Calibri" w:cs="Calibri" w:asciiTheme="minorAscii" w:hAnsiTheme="minorAscii" w:cstheme="minorAscii"/>
        </w:rPr>
      </w:pPr>
      <w:r>
        <w:drawing>
          <wp:inline wp14:editId="1CF67D69" wp14:anchorId="02FB4D0F">
            <wp:extent cx="2019300" cy="1409700"/>
            <wp:effectExtent l="0" t="0" r="0" b="0"/>
            <wp:docPr id="1522901055" name="" title=""/>
            <wp:cNvGraphicFramePr>
              <a:graphicFrameLocks noChangeAspect="1"/>
            </wp:cNvGraphicFramePr>
            <a:graphic>
              <a:graphicData uri="http://schemas.openxmlformats.org/drawingml/2006/picture">
                <pic:pic>
                  <pic:nvPicPr>
                    <pic:cNvPr id="0" name=""/>
                    <pic:cNvPicPr/>
                  </pic:nvPicPr>
                  <pic:blipFill>
                    <a:blip r:embed="Re1e810d2b5e9475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2019300" cy="1409700"/>
                    </a:xfrm>
                    <a:prstGeom xmlns:a="http://schemas.openxmlformats.org/drawingml/2006/main" prst="rect">
                      <a:avLst/>
                    </a:prstGeom>
                  </pic:spPr>
                </pic:pic>
              </a:graphicData>
            </a:graphic>
          </wp:inline>
        </w:drawing>
      </w:r>
      <w:r w:rsidRPr="7F833EF2" w:rsidR="7F833EF2">
        <w:rPr>
          <w:rFonts w:ascii="Calibri" w:hAnsi="Calibri" w:cs="Calibri" w:asciiTheme="minorAscii" w:hAnsiTheme="minorAscii" w:cstheme="minorAscii"/>
        </w:rPr>
        <w:t xml:space="preserve">Transgender and gender non-conforming people face rampant discrimination in health care settings, </w:t>
      </w:r>
      <w:r w:rsidRPr="7F833EF2" w:rsidR="7F833EF2">
        <w:rPr>
          <w:rFonts w:ascii="Calibri" w:hAnsi="Calibri" w:cs="Calibri" w:asciiTheme="minorAscii" w:hAnsiTheme="minorAscii" w:cstheme="minorAscii"/>
        </w:rPr>
        <w:t xml:space="preserve">are regularly denied needed care, and experience a range of health risks because they are </w:t>
      </w:r>
      <w:r w:rsidRPr="7F833EF2" w:rsidR="7F833EF2">
        <w:rPr>
          <w:rFonts w:ascii="Calibri" w:hAnsi="Calibri" w:cs="Calibri" w:asciiTheme="minorAscii" w:hAnsiTheme="minorAscii" w:cstheme="minorAscii"/>
        </w:rPr>
        <w:t>transgende</w:t>
      </w:r>
      <w:r w:rsidRPr="7F833EF2" w:rsidR="7F833EF2">
        <w:rPr>
          <w:rFonts w:ascii="Calibri" w:hAnsi="Calibri" w:cs="Calibri" w:asciiTheme="minorAscii" w:hAnsiTheme="minorAscii" w:cstheme="minorAscii"/>
        </w:rPr>
        <w:t>r or gender non-conforming, according to a report of more than 6,450 transgender and gender non-conforming people. The National Transgender Discrimination Survey: Report on Health and Health Care was released nationally today by the National Gay and Lesbian Task Force and the National Center for Transgender Equality.</w:t>
      </w:r>
    </w:p>
    <w:p w:rsidRPr="006C51D1" w:rsidR="006C51D1" w:rsidP="1CF67D69" w:rsidRDefault="006C51D1" w14:paraId="6A3A6D2A" w14:textId="622E34A8">
      <w:pPr>
        <w:pStyle w:val="NoSpacing"/>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Key findings include:</w:t>
      </w:r>
    </w:p>
    <w:p w:rsidRPr="006C51D1" w:rsidR="006C51D1" w:rsidP="006C51D1" w:rsidRDefault="006C51D1" w14:paraId="48CE05C3" w14:textId="698C9BE5">
      <w:pPr>
        <w:pStyle w:val="NoSpacing"/>
      </w:pPr>
      <w:r w:rsidRPr="1CF67D69" w:rsidR="1CF67D69">
        <w:rPr>
          <w:rFonts w:ascii="Calibri" w:hAnsi="Calibri" w:cs="Calibri" w:asciiTheme="minorAscii" w:hAnsiTheme="minorAscii" w:cstheme="minorAscii"/>
        </w:rPr>
        <w:t xml:space="preserve"> </w:t>
      </w:r>
    </w:p>
    <w:p w:rsidRPr="006C51D1" w:rsidR="006C51D1" w:rsidP="006C51D1" w:rsidRDefault="006C51D1" w14:paraId="5C0BEB33" w14:textId="59A152D2">
      <w:pPr>
        <w:pStyle w:val="NoSpacing"/>
      </w:pPr>
      <w:r w:rsidRPr="1CF67D69" w:rsidR="1CF67D69">
        <w:rPr>
          <w:rFonts w:ascii="Calibri" w:hAnsi="Calibri" w:cs="Calibri" w:asciiTheme="minorAscii" w:hAnsiTheme="minorAscii" w:cstheme="minorAscii"/>
        </w:rPr>
        <w:t>*Nearly 1 in 5 (19 percent) reported being refused care outright because they were transgender or gender non-conforming.</w:t>
      </w:r>
    </w:p>
    <w:p w:rsidRPr="006C51D1" w:rsidR="006C51D1" w:rsidP="006C51D1" w:rsidRDefault="006C51D1" w14:paraId="557E716D" w14:textId="3A1E01AB">
      <w:pPr>
        <w:pStyle w:val="NoSpacing"/>
      </w:pPr>
      <w:r w:rsidRPr="1CF67D69" w:rsidR="1CF67D69">
        <w:rPr>
          <w:rFonts w:ascii="Calibri" w:hAnsi="Calibri" w:cs="Calibri" w:asciiTheme="minorAscii" w:hAnsiTheme="minorAscii" w:cstheme="minorAscii"/>
        </w:rPr>
        <w:t xml:space="preserve"> </w:t>
      </w:r>
    </w:p>
    <w:p w:rsidRPr="006C51D1" w:rsidR="006C51D1" w:rsidP="006C51D1" w:rsidRDefault="006C51D1" w14:paraId="26FF35C1" w14:textId="383E9637">
      <w:pPr>
        <w:pStyle w:val="NoSpacing"/>
      </w:pPr>
      <w:r w:rsidRPr="1CF67D69" w:rsidR="1CF67D69">
        <w:rPr>
          <w:rFonts w:ascii="Calibri" w:hAnsi="Calibri" w:cs="Calibri" w:asciiTheme="minorAscii" w:hAnsiTheme="minorAscii" w:cstheme="minorAscii"/>
        </w:rPr>
        <w:t>*Survey participants reported very high levels of postponing medical care when sick or injured due to discrimination and disrespect (28 percent).</w:t>
      </w:r>
    </w:p>
    <w:p w:rsidRPr="006C51D1" w:rsidR="006C51D1" w:rsidP="006C51D1" w:rsidRDefault="006C51D1" w14:paraId="10831C53" w14:textId="6A7183AB">
      <w:pPr>
        <w:pStyle w:val="NoSpacing"/>
      </w:pPr>
      <w:r w:rsidRPr="1CF67D69" w:rsidR="1CF67D69">
        <w:rPr>
          <w:rFonts w:ascii="Calibri" w:hAnsi="Calibri" w:cs="Calibri" w:asciiTheme="minorAscii" w:hAnsiTheme="minorAscii" w:cstheme="minorAscii"/>
        </w:rPr>
        <w:t xml:space="preserve"> </w:t>
      </w:r>
    </w:p>
    <w:p w:rsidRPr="006C51D1" w:rsidR="006C51D1" w:rsidP="006C51D1" w:rsidRDefault="006C51D1" w14:paraId="74CB948F" w14:textId="6F44C5E4">
      <w:pPr>
        <w:pStyle w:val="NoSpacing"/>
      </w:pPr>
      <w:r w:rsidRPr="1CF67D69" w:rsidR="1CF67D69">
        <w:rPr>
          <w:rFonts w:ascii="Calibri" w:hAnsi="Calibri" w:cs="Calibri" w:asciiTheme="minorAscii" w:hAnsiTheme="minorAscii" w:cstheme="minorAscii"/>
        </w:rPr>
        <w:t>*Harassment: 28 percent of respondents were subjected to harassment in medical settings.</w:t>
      </w:r>
    </w:p>
    <w:p w:rsidR="1CF67D69" w:rsidP="1CF67D69" w:rsidRDefault="1CF67D69" w14:paraId="13A8B861" w14:textId="7CF0D74C">
      <w:pPr>
        <w:pStyle w:val="NoSpacing"/>
        <w:rPr>
          <w:rFonts w:ascii="Calibri" w:hAnsi="Calibri" w:cs="Calibri" w:asciiTheme="minorAscii" w:hAnsiTheme="minorAscii" w:cstheme="minorAscii"/>
        </w:rPr>
      </w:pPr>
    </w:p>
    <w:p w:rsidR="1CF67D69" w:rsidP="1CF67D69" w:rsidRDefault="1CF67D69" w14:paraId="5216E848" w14:textId="59BD676B">
      <w:pPr>
        <w:pStyle w:val="NoSpacing"/>
        <w:rPr>
          <w:rFonts w:ascii="Calibri" w:hAnsi="Calibri" w:cs="Calibri" w:asciiTheme="minorAscii" w:hAnsiTheme="minorAscii" w:cstheme="minorAscii"/>
        </w:rPr>
      </w:pPr>
    </w:p>
    <w:p w:rsidRPr="006C51D1" w:rsidR="006C51D1" w:rsidP="006C51D1" w:rsidRDefault="006C51D1" w14:paraId="7D96C443" w14:textId="6B305C95">
      <w:pPr>
        <w:pStyle w:val="NoSpacing"/>
        <w:rPr>
          <w:rFonts w:asciiTheme="minorHAnsi" w:hAnsiTheme="minorHAnsi" w:cstheme="minorHAnsi"/>
        </w:rPr>
      </w:pPr>
      <w:r w:rsidRPr="006C51D1">
        <w:rPr>
          <w:rFonts w:asciiTheme="minorHAnsi" w:hAnsiTheme="minorHAnsi" w:cstheme="minorHAnsi"/>
        </w:rPr>
        <w:t xml:space="preserve">Reflections: </w:t>
      </w:r>
    </w:p>
    <w:p w:rsidRPr="006C51D1" w:rsidR="006C51D1" w:rsidP="006C51D1" w:rsidRDefault="006C51D1" w14:paraId="64ED30ED" w14:textId="1FA5205E">
      <w:pPr>
        <w:pStyle w:val="NoSpacing"/>
        <w:rPr>
          <w:rFonts w:asciiTheme="minorHAnsi" w:hAnsiTheme="minorHAnsi" w:cstheme="minorHAnsi"/>
        </w:rPr>
      </w:pPr>
    </w:p>
    <w:p w:rsidR="006C51D1" w:rsidP="006C51D1" w:rsidRDefault="006C51D1" w14:paraId="57B4659E" w14:textId="77777777">
      <w:pPr>
        <w:pStyle w:val="NoSpacing"/>
        <w:rPr>
          <w:rFonts w:asciiTheme="minorHAnsi" w:hAnsiTheme="minorHAnsi" w:cstheme="minorHAnsi"/>
        </w:rPr>
        <w:sectPr w:rsidR="006C51D1" w:rsidSect="00FD6AC1">
          <w:pgSz w:w="12240" w:h="15840" w:orient="portrait"/>
          <w:pgMar w:top="1152" w:right="1152" w:bottom="1152" w:left="1152" w:header="720" w:footer="720" w:gutter="0"/>
          <w:cols w:space="720"/>
          <w:docGrid w:linePitch="360"/>
        </w:sectPr>
      </w:pPr>
    </w:p>
    <w:p w:rsidRPr="006C51D1" w:rsidR="006C51D1" w:rsidP="006C51D1" w:rsidRDefault="006C51D1" w14:paraId="1CD78234" w14:textId="7C796213">
      <w:pPr>
        <w:pStyle w:val="NoSpacing"/>
        <w:rPr>
          <w:rFonts w:asciiTheme="minorHAnsi" w:hAnsiTheme="minorHAnsi" w:cstheme="minorHAnsi"/>
        </w:rPr>
      </w:pPr>
    </w:p>
    <w:p w:rsidRPr="006C51D1" w:rsidR="006C51D1" w:rsidP="006C51D1" w:rsidRDefault="006C51D1" w14:paraId="3C8947A3" w14:textId="798E0E3B">
      <w:pPr>
        <w:pStyle w:val="NoSpacing"/>
        <w:rPr>
          <w:rFonts w:asciiTheme="minorHAnsi" w:hAnsiTheme="minorHAnsi" w:cstheme="minorHAnsi"/>
        </w:rPr>
      </w:pPr>
    </w:p>
    <w:p w:rsidRPr="006C51D1" w:rsidR="006C51D1" w:rsidP="006C51D1" w:rsidRDefault="006C51D1" w14:paraId="78958AF2" w14:textId="77777777">
      <w:pPr>
        <w:spacing w:after="0" w:line="240" w:lineRule="auto"/>
        <w:rPr>
          <w:rFonts w:eastAsia="Times New Roman" w:cstheme="minorHAnsi"/>
          <w:szCs w:val="24"/>
        </w:rPr>
      </w:pPr>
    </w:p>
    <w:tbl>
      <w:tblPr>
        <w:tblStyle w:val="TableGrid"/>
        <w:tblW w:w="0" w:type="auto"/>
        <w:tblLook w:val="04A0" w:firstRow="1" w:lastRow="0" w:firstColumn="1" w:lastColumn="0" w:noHBand="0" w:noVBand="1"/>
      </w:tblPr>
      <w:tblGrid>
        <w:gridCol w:w="3570"/>
        <w:gridCol w:w="6356"/>
      </w:tblGrid>
      <w:tr w:rsidRPr="006C51D1" w:rsidR="006C51D1" w:rsidTr="1CF67D69" w14:paraId="54A29282" w14:textId="77777777">
        <w:trPr>
          <w:trHeight w:val="280"/>
        </w:trPr>
        <w:tc>
          <w:tcPr>
            <w:tcW w:w="10671" w:type="dxa"/>
            <w:gridSpan w:val="2"/>
            <w:shd w:val="clear" w:color="auto" w:fill="514843"/>
            <w:tcMar/>
          </w:tcPr>
          <w:p w:rsidRPr="006C51D1" w:rsidR="006C51D1" w:rsidP="1CF67D69" w:rsidRDefault="006C51D1" w14:paraId="1C005AA8" w14:textId="145260CA">
            <w:pPr>
              <w:rPr>
                <w:rFonts w:eastAsia="Times New Roman" w:cs="Calibri" w:cstheme="minorAscii"/>
                <w:b w:val="1"/>
                <w:bCs w:val="1"/>
              </w:rPr>
            </w:pPr>
            <w:r w:rsidRPr="1CF67D69" w:rsidR="1CF67D69">
              <w:rPr>
                <w:rFonts w:eastAsia="Times New Roman" w:cs="Calibri" w:cstheme="minorAscii"/>
                <w:b w:val="1"/>
                <w:bCs w:val="1"/>
                <w:color w:val="FFFFCC"/>
              </w:rPr>
              <w:t>Scenario #2: Financial Services</w:t>
            </w:r>
          </w:p>
        </w:tc>
      </w:tr>
      <w:tr w:rsidRPr="006C51D1" w:rsidR="006C51D1" w:rsidTr="1CF67D69" w14:paraId="58F5A837" w14:textId="77777777">
        <w:trPr>
          <w:trHeight w:val="575"/>
        </w:trPr>
        <w:tc>
          <w:tcPr>
            <w:tcW w:w="3775" w:type="dxa"/>
            <w:shd w:val="clear" w:color="auto" w:fill="auto"/>
            <w:tcMar/>
          </w:tcPr>
          <w:p w:rsidRPr="006C51D1" w:rsidR="006C51D1" w:rsidP="7F833EF2" w:rsidRDefault="006C51D1" w14:paraId="7BDB56E5" w14:textId="1CC400BE">
            <w:pPr>
              <w:rPr>
                <w:rFonts w:eastAsia="Times New Roman" w:cs="Calibri" w:cstheme="minorAscii"/>
                <w:b w:val="1"/>
                <w:bCs w:val="1"/>
              </w:rPr>
            </w:pPr>
            <w:r w:rsidRPr="7F833EF2" w:rsidR="7F833EF2">
              <w:rPr>
                <w:rFonts w:eastAsia="Times New Roman" w:cs="Calibri" w:cstheme="minorAscii"/>
                <w:b w:val="1"/>
                <w:bCs w:val="1"/>
              </w:rPr>
              <w:t xml:space="preserve">Expression of Oppression: </w:t>
            </w:r>
          </w:p>
        </w:tc>
        <w:tc>
          <w:tcPr>
            <w:tcW w:w="6896" w:type="dxa"/>
            <w:shd w:val="clear" w:color="auto" w:fill="auto"/>
            <w:tcMar/>
          </w:tcPr>
          <w:p w:rsidRPr="006C51D1" w:rsidR="006C51D1" w:rsidP="00183858" w:rsidRDefault="006C51D1" w14:paraId="28A18EF2" w14:textId="77777777">
            <w:pPr>
              <w:rPr>
                <w:rFonts w:eastAsia="Times New Roman" w:cstheme="minorHAnsi"/>
                <w:b/>
                <w:szCs w:val="24"/>
              </w:rPr>
            </w:pPr>
          </w:p>
        </w:tc>
      </w:tr>
    </w:tbl>
    <w:p w:rsidRPr="006C51D1" w:rsidR="006C51D1" w:rsidP="1CF67D69" w:rsidRDefault="00FD6AC1" w14:paraId="4857FB1A" w14:textId="35040DC3">
      <w:pPr>
        <w:pStyle w:val="Normal"/>
        <w:bidi w:val="0"/>
        <w:spacing w:before="0" w:beforeAutospacing="off" w:after="0" w:afterAutospacing="off" w:line="240" w:lineRule="auto"/>
        <w:ind w:left="0" w:right="0"/>
        <w:jc w:val="left"/>
        <w:rPr>
          <w:color w:val="0000FF"/>
          <w:u w:val="single"/>
        </w:rPr>
      </w:pPr>
      <w:hyperlink r:id="Re7fdbaeb20244838">
        <w:r w:rsidRPr="1CF67D69" w:rsidR="1CF67D69">
          <w:rPr>
            <w:color w:val="0000FF"/>
            <w:u w:val="single"/>
          </w:rPr>
          <w:t>https://www.cnbc.com/2022/06/28/30percent-of-lgbtq-adults-experienced-discrimination-in-financial-services.html</w:t>
        </w:r>
      </w:hyperlink>
      <w:r w:rsidRPr="1CF67D69" w:rsidR="1CF67D69">
        <w:rPr>
          <w:color w:val="0000FF"/>
          <w:u w:val="single"/>
        </w:rPr>
        <w:t xml:space="preserve"> </w:t>
      </w:r>
    </w:p>
    <w:p w:rsidRPr="006C51D1" w:rsidR="006C51D1" w:rsidP="1CF67D69" w:rsidRDefault="00FD6AC1" w14:paraId="46C433BE" w14:textId="2B3DDCAD">
      <w:pPr>
        <w:pStyle w:val="NoSpacing"/>
        <w:spacing w:before="100" w:beforeAutospacing="1" w:after="100" w:afterAutospacing="1" w:line="240" w:lineRule="auto"/>
      </w:pPr>
      <w:r>
        <w:drawing>
          <wp:inline wp14:editId="5310660C" wp14:anchorId="394DDE04">
            <wp:extent cx="1478139" cy="831453"/>
            <wp:effectExtent l="0" t="0" r="0" b="0"/>
            <wp:docPr id="2021078775" name="" title=""/>
            <wp:cNvGraphicFramePr>
              <a:graphicFrameLocks noChangeAspect="1"/>
            </wp:cNvGraphicFramePr>
            <a:graphic>
              <a:graphicData uri="http://schemas.openxmlformats.org/drawingml/2006/picture">
                <pic:pic>
                  <pic:nvPicPr>
                    <pic:cNvPr id="0" name=""/>
                    <pic:cNvPicPr/>
                  </pic:nvPicPr>
                  <pic:blipFill>
                    <a:blip r:embed="R0bc9f6a15dbd4f7e">
                      <a:extLst>
                        <a:ext xmlns:a="http://schemas.openxmlformats.org/drawingml/2006/main" uri="{28A0092B-C50C-407E-A947-70E740481C1C}">
                          <a14:useLocalDpi val="0"/>
                        </a:ext>
                      </a:extLst>
                    </a:blip>
                    <a:stretch>
                      <a:fillRect/>
                    </a:stretch>
                  </pic:blipFill>
                  <pic:spPr>
                    <a:xfrm>
                      <a:off x="0" y="0"/>
                      <a:ext cx="1478139" cy="831453"/>
                    </a:xfrm>
                    <a:prstGeom prst="rect">
                      <a:avLst/>
                    </a:prstGeom>
                  </pic:spPr>
                </pic:pic>
              </a:graphicData>
            </a:graphic>
          </wp:inline>
        </w:drawing>
      </w:r>
      <w:r w:rsidRPr="1CF67D69" w:rsidR="1CF67D69">
        <w:rPr>
          <w:rFonts w:ascii="Calibri" w:hAnsi="Calibri" w:cs="Calibri" w:asciiTheme="minorAscii" w:hAnsiTheme="minorAscii" w:cstheme="minorAscii"/>
        </w:rPr>
        <w:t>Members of the LGBTQIA+ community are still struggling, in some instances, to access financial services that would help them manage their money.</w:t>
      </w:r>
    </w:p>
    <w:p w:rsidRPr="006C51D1" w:rsidR="006C51D1" w:rsidP="1CF67D69" w:rsidRDefault="00FD6AC1" w14:paraId="5613B9A0" w14:textId="49EC3DEF">
      <w:pPr>
        <w:pStyle w:val="NoSpacing"/>
        <w:spacing w:before="100" w:beforeAutospacing="1" w:after="100" w:afterAutospacing="1" w:line="240" w:lineRule="auto"/>
      </w:pPr>
      <w:r w:rsidRPr="1CF67D69" w:rsidR="1CF67D69">
        <w:rPr>
          <w:rFonts w:ascii="Calibri" w:hAnsi="Calibri" w:cs="Calibri" w:asciiTheme="minorAscii" w:hAnsiTheme="minorAscii" w:cstheme="minorAscii"/>
        </w:rPr>
        <w:t xml:space="preserve"> </w:t>
      </w:r>
    </w:p>
    <w:p w:rsidRPr="006C51D1" w:rsidR="006C51D1" w:rsidP="1CF67D69" w:rsidRDefault="00FD6AC1" w14:paraId="4327AC8A" w14:textId="560948C0">
      <w:pPr>
        <w:pStyle w:val="NoSpacing"/>
        <w:spacing w:before="100" w:beforeAutospacing="1" w:after="100" w:afterAutospacing="1" w:line="240" w:lineRule="auto"/>
      </w:pPr>
      <w:r w:rsidRPr="1CF67D69" w:rsidR="1CF67D69">
        <w:rPr>
          <w:rFonts w:ascii="Calibri" w:hAnsi="Calibri" w:cs="Calibri" w:asciiTheme="minorAscii" w:hAnsiTheme="minorAscii" w:cstheme="minorAscii"/>
        </w:rPr>
        <w:t>Some 30% of LGBTQIA+ adults have experienced bias, discrimination or exclusion in the financial services sector, either from individuals or organizations, a survey from the National Endowment for Financial Education found. The online survey of more than 1,000 adults in the LGBTQ+ community took place from May 6 to May 17.</w:t>
      </w:r>
    </w:p>
    <w:p w:rsidRPr="006C51D1" w:rsidR="006C51D1" w:rsidP="1CF67D69" w:rsidRDefault="00FD6AC1" w14:paraId="453D3FBF" w14:textId="48E0D592">
      <w:pPr>
        <w:pStyle w:val="NoSpacing"/>
        <w:spacing w:before="100" w:beforeAutospacing="1" w:after="100" w:afterAutospacing="1" w:line="240" w:lineRule="auto"/>
      </w:pPr>
      <w:r w:rsidRPr="1CF67D69" w:rsidR="1CF67D69">
        <w:rPr>
          <w:rFonts w:ascii="Calibri" w:hAnsi="Calibri" w:cs="Calibri" w:asciiTheme="minorAscii" w:hAnsiTheme="minorAscii" w:cstheme="minorAscii"/>
        </w:rPr>
        <w:t xml:space="preserve"> </w:t>
      </w:r>
    </w:p>
    <w:p w:rsidRPr="006C51D1" w:rsidR="006C51D1" w:rsidP="1CF67D69" w:rsidRDefault="00FD6AC1" w14:paraId="47F208EA" w14:textId="3710D7BE">
      <w:pPr>
        <w:pStyle w:val="NoSpacing"/>
        <w:spacing w:before="100" w:beforeAutospacing="1" w:after="100" w:afterAutospacing="1" w:line="240" w:lineRule="auto"/>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 xml:space="preserve">Of those who experienced such barriers to accessing financial services, many noted that age and orientation were the top reasons they felt led to the experience. In addition, transgender respondents face the most discrimination, the survey found. </w:t>
      </w:r>
    </w:p>
    <w:p w:rsidRPr="006C51D1" w:rsidR="006C51D1" w:rsidP="1CF67D69" w:rsidRDefault="00FD6AC1" w14:paraId="7581DBB6" w14:textId="341A9F2A">
      <w:pPr>
        <w:pStyle w:val="NoSpacing"/>
        <w:spacing w:before="100" w:beforeAutospacing="1" w:after="100" w:afterAutospacing="1" w:line="240" w:lineRule="auto"/>
        <w:rPr>
          <w:rFonts w:ascii="Calibri" w:hAnsi="Calibri" w:cs="Calibri" w:asciiTheme="minorAscii" w:hAnsiTheme="minorAscii" w:cstheme="minorAscii"/>
        </w:rPr>
      </w:pPr>
    </w:p>
    <w:p w:rsidRPr="006C51D1" w:rsidR="006C51D1" w:rsidP="1CF67D69" w:rsidRDefault="00FD6AC1" w14:paraId="7EEF551E" w14:textId="1D4CE629">
      <w:pPr>
        <w:pStyle w:val="NoSpacing"/>
        <w:spacing w:before="100" w:beforeAutospacing="1" w:after="100" w:afterAutospacing="1" w:line="240" w:lineRule="auto"/>
        <w:rPr>
          <w:rFonts w:ascii="Calibri" w:hAnsi="Calibri" w:cs="Calibri" w:asciiTheme="minorAscii" w:hAnsiTheme="minorAscii" w:cstheme="minorAscii"/>
        </w:rPr>
      </w:pPr>
    </w:p>
    <w:p w:rsidRPr="006C51D1" w:rsidR="006C51D1" w:rsidP="1CF67D69" w:rsidRDefault="00FD6AC1" w14:paraId="538C0498" w14:textId="2E146C17">
      <w:pPr>
        <w:pStyle w:val="NoSpacing"/>
        <w:spacing w:before="100" w:beforeAutospacing="1" w:after="100" w:afterAutospacing="1" w:line="240" w:lineRule="auto"/>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Reflections:</w:t>
      </w:r>
    </w:p>
    <w:p w:rsidR="1CF67D69" w:rsidP="1CF67D69" w:rsidRDefault="1CF67D69" w14:paraId="75A003F7">
      <w:pPr>
        <w:pStyle w:val="Normal"/>
        <w:spacing w:beforeAutospacing="on" w:afterAutospacing="on" w:line="240" w:lineRule="auto"/>
        <w:rPr>
          <w:rFonts w:eastAsia="Times New Roman" w:cs="Calibri" w:cstheme="minorAscii"/>
          <w:b w:val="1"/>
          <w:bCs w:val="1"/>
          <w:color w:val="514843"/>
          <w:sz w:val="28"/>
          <w:szCs w:val="28"/>
          <w:u w:val="single"/>
        </w:rPr>
        <w:sectPr w:rsidRPr="006C51D1" w:rsidR="006C51D1" w:rsidSect="00FD6AC1">
          <w:type w:val="continuous"/>
          <w:pgSz w:w="12240" w:h="15840" w:orient="portrait"/>
          <w:pgMar w:top="1152" w:right="1152" w:bottom="1152" w:left="1152" w:header="720" w:footer="720" w:gutter="0"/>
          <w:cols w:space="720"/>
          <w:docGrid w:linePitch="360"/>
        </w:sectPr>
      </w:pPr>
    </w:p>
    <w:p w:rsidRPr="006C51D1" w:rsidR="00FD6AC1" w:rsidP="1CF67D69" w:rsidRDefault="00FD6AC1" w14:paraId="5846E405" w14:textId="4E3749D9">
      <w:pPr>
        <w:spacing w:before="100" w:beforeAutospacing="on" w:after="100" w:afterAutospacing="on" w:line="240" w:lineRule="auto"/>
        <w:rPr>
          <w:rFonts w:eastAsia="Times New Roman" w:cs="Calibri" w:cstheme="minorAscii"/>
          <w:b w:val="1"/>
          <w:bCs w:val="1"/>
          <w:color w:val="514843"/>
          <w:sz w:val="28"/>
          <w:szCs w:val="28"/>
          <w:u w:val="single"/>
        </w:rPr>
      </w:pPr>
    </w:p>
    <w:tbl>
      <w:tblPr>
        <w:tblStyle w:val="TableGrid"/>
        <w:tblpPr w:leftFromText="180" w:rightFromText="180" w:vertAnchor="text" w:horzAnchor="margin" w:tblpY="-435"/>
        <w:tblW w:w="0" w:type="auto"/>
        <w:tblLook w:val="04A0" w:firstRow="1" w:lastRow="0" w:firstColumn="1" w:lastColumn="0" w:noHBand="0" w:noVBand="1"/>
      </w:tblPr>
      <w:tblGrid>
        <w:gridCol w:w="2965"/>
        <w:gridCol w:w="6649"/>
      </w:tblGrid>
      <w:tr w:rsidRPr="006C51D1" w:rsidR="00FD6AC1" w:rsidTr="1CF67D69" w14:paraId="53B10B1E" w14:textId="77777777">
        <w:trPr>
          <w:trHeight w:val="263"/>
        </w:trPr>
        <w:tc>
          <w:tcPr>
            <w:tcW w:w="9614" w:type="dxa"/>
            <w:gridSpan w:val="2"/>
            <w:shd w:val="clear" w:color="auto" w:fill="514843"/>
            <w:tcMar/>
          </w:tcPr>
          <w:p w:rsidRPr="006C51D1" w:rsidR="00FD6AC1" w:rsidP="1CF67D69" w:rsidRDefault="00FD6AC1" w14:paraId="0F65E93A" w14:textId="2C7BC965">
            <w:pPr>
              <w:rPr>
                <w:rFonts w:eastAsia="Times New Roman" w:cs="Calibri" w:cstheme="minorAscii"/>
                <w:b w:val="1"/>
                <w:bCs w:val="1"/>
              </w:rPr>
            </w:pPr>
            <w:r w:rsidRPr="1CF67D69" w:rsidR="1CF67D69">
              <w:rPr>
                <w:rFonts w:eastAsia="Times New Roman" w:cs="Calibri" w:cstheme="minorAscii"/>
                <w:b w:val="1"/>
                <w:bCs w:val="1"/>
                <w:color w:val="FFFFCC"/>
              </w:rPr>
              <w:t>Scenario #3: Department of Education</w:t>
            </w:r>
          </w:p>
        </w:tc>
      </w:tr>
      <w:tr w:rsidRPr="006C51D1" w:rsidR="00FD6AC1" w:rsidTr="1CF67D69" w14:paraId="7BBE5F97" w14:textId="77777777">
        <w:trPr>
          <w:trHeight w:val="794"/>
        </w:trPr>
        <w:tc>
          <w:tcPr>
            <w:tcW w:w="2965" w:type="dxa"/>
            <w:shd w:val="clear" w:color="auto" w:fill="auto"/>
            <w:tcMar/>
          </w:tcPr>
          <w:p w:rsidRPr="006C51D1" w:rsidR="00FD6AC1" w:rsidP="1CF67D69" w:rsidRDefault="00FD6AC1" w14:paraId="4A046ED1" w14:textId="5C5FF286">
            <w:pPr>
              <w:rPr>
                <w:rFonts w:eastAsia="Times New Roman" w:cs="Calibri" w:cstheme="minorAscii"/>
                <w:b w:val="1"/>
                <w:bCs w:val="1"/>
              </w:rPr>
            </w:pPr>
            <w:r w:rsidRPr="1CF67D69" w:rsidR="1CF67D69">
              <w:rPr>
                <w:rFonts w:eastAsia="Times New Roman" w:cs="Calibri" w:cstheme="minorAscii"/>
                <w:b w:val="1"/>
                <w:bCs w:val="1"/>
              </w:rPr>
              <w:t xml:space="preserve">Expression of Oppression: </w:t>
            </w:r>
          </w:p>
        </w:tc>
        <w:tc>
          <w:tcPr>
            <w:tcW w:w="6649" w:type="dxa"/>
            <w:shd w:val="clear" w:color="auto" w:fill="auto"/>
            <w:tcMar/>
          </w:tcPr>
          <w:p w:rsidRPr="006C51D1" w:rsidR="00FD6AC1" w:rsidP="00FD6AC1" w:rsidRDefault="00FD6AC1" w14:paraId="271C1780" w14:textId="77777777">
            <w:pPr>
              <w:rPr>
                <w:rFonts w:eastAsia="Times New Roman" w:cstheme="minorHAnsi"/>
                <w:b/>
                <w:szCs w:val="24"/>
              </w:rPr>
            </w:pPr>
          </w:p>
        </w:tc>
      </w:tr>
    </w:tbl>
    <w:p w:rsidRPr="006C51D1" w:rsidR="006C51D1" w:rsidP="1CF67D69" w:rsidRDefault="006C51D1" w14:paraId="148724AB" w14:textId="4124C7D2">
      <w:pPr>
        <w:pStyle w:val="NoSpacing"/>
        <w:rPr>
          <w:rFonts w:ascii="Calibri" w:hAnsi="Calibri" w:cs="Calibri" w:asciiTheme="minorAscii" w:hAnsiTheme="minorAscii" w:cstheme="minorAscii"/>
          <w:lang w:val="en"/>
        </w:rPr>
      </w:pPr>
      <w:r w:rsidRPr="1CF67D69" w:rsidR="1CF67D69">
        <w:rPr>
          <w:rFonts w:ascii="Calibri" w:hAnsi="Calibri" w:cs="Calibri" w:asciiTheme="minorAscii" w:hAnsiTheme="minorAscii" w:cstheme="minorAscii"/>
          <w:lang w:val="en"/>
        </w:rPr>
        <w:t xml:space="preserve">  </w:t>
      </w:r>
      <w:hyperlink r:id="Rea84892e315140ac">
        <w:r w:rsidRPr="1CF67D69" w:rsidR="1CF67D69">
          <w:rPr>
            <w:rStyle w:val="Hyperlink"/>
            <w:rFonts w:ascii="Calibri" w:hAnsi="Calibri" w:cs="Calibri" w:asciiTheme="minorAscii" w:hAnsiTheme="minorAscii" w:cstheme="minorAscii"/>
            <w:lang w:val="en"/>
          </w:rPr>
          <w:t>https://www.washingtonpost.com/education/2022/03/30/transgender-discrimination-title-ix-rule-students/</w:t>
        </w:r>
      </w:hyperlink>
      <w:r w:rsidRPr="1CF67D69" w:rsidR="1CF67D69">
        <w:rPr>
          <w:rFonts w:ascii="Calibri" w:hAnsi="Calibri" w:cs="Calibri" w:asciiTheme="minorAscii" w:hAnsiTheme="minorAscii" w:cstheme="minorAscii"/>
          <w:lang w:val="en"/>
        </w:rPr>
        <w:t xml:space="preserve"> </w:t>
      </w:r>
    </w:p>
    <w:p w:rsidR="006C51D1" w:rsidP="1CF67D69" w:rsidRDefault="006C51D1" w14:paraId="3309A7B9" w14:textId="52180F70">
      <w:pPr>
        <w:pStyle w:val="Normal"/>
        <w:spacing w:after="0" w:line="240" w:lineRule="auto"/>
      </w:pPr>
      <w:r>
        <w:drawing>
          <wp:inline wp14:editId="64378C55" wp14:anchorId="20F4A5D6">
            <wp:extent cx="1309688" cy="873125"/>
            <wp:effectExtent l="0" t="0" r="0" b="0"/>
            <wp:docPr id="1361599870" name="" title=""/>
            <wp:cNvGraphicFramePr>
              <a:graphicFrameLocks noChangeAspect="1"/>
            </wp:cNvGraphicFramePr>
            <a:graphic>
              <a:graphicData uri="http://schemas.openxmlformats.org/drawingml/2006/picture">
                <pic:pic>
                  <pic:nvPicPr>
                    <pic:cNvPr id="0" name=""/>
                    <pic:cNvPicPr/>
                  </pic:nvPicPr>
                  <pic:blipFill>
                    <a:blip r:embed="Rad15ef914a654eb4">
                      <a:extLst>
                        <a:ext xmlns:a="http://schemas.openxmlformats.org/drawingml/2006/main" uri="{28A0092B-C50C-407E-A947-70E740481C1C}">
                          <a14:useLocalDpi val="0"/>
                        </a:ext>
                      </a:extLst>
                    </a:blip>
                    <a:stretch>
                      <a:fillRect/>
                    </a:stretch>
                  </pic:blipFill>
                  <pic:spPr>
                    <a:xfrm>
                      <a:off x="0" y="0"/>
                      <a:ext cx="1309688" cy="873125"/>
                    </a:xfrm>
                    <a:prstGeom prst="rect">
                      <a:avLst/>
                    </a:prstGeom>
                  </pic:spPr>
                </pic:pic>
              </a:graphicData>
            </a:graphic>
          </wp:inline>
        </w:drawing>
      </w:r>
      <w:r w:rsidRPr="1CF67D69" w:rsidR="1CF67D69">
        <w:rPr>
          <w:rFonts w:eastAsia="Times New Roman" w:cs="Calibri" w:cstheme="minorAscii"/>
        </w:rPr>
        <w:t>Discrimination against transgender students would be a violation of federal civil rights law under proposed regulations the Education Department is expected to finalize in the coming weeks.</w:t>
      </w:r>
    </w:p>
    <w:p w:rsidR="006C51D1" w:rsidP="1CF67D69" w:rsidRDefault="006C51D1" w14:paraId="0A05964D" w14:textId="40732A05">
      <w:pPr>
        <w:pStyle w:val="Normal"/>
        <w:spacing w:after="0" w:line="240" w:lineRule="auto"/>
      </w:pPr>
      <w:r w:rsidRPr="1CF67D69" w:rsidR="1CF67D69">
        <w:rPr>
          <w:rFonts w:eastAsia="Times New Roman" w:cs="Calibri" w:cstheme="minorAscii"/>
        </w:rPr>
        <w:t xml:space="preserve"> </w:t>
      </w:r>
    </w:p>
    <w:p w:rsidR="006C51D1" w:rsidP="1CF67D69" w:rsidRDefault="006C51D1" w14:paraId="056673F0" w14:textId="1ABDFA31">
      <w:pPr>
        <w:pStyle w:val="Normal"/>
        <w:spacing w:after="0" w:line="240" w:lineRule="auto"/>
      </w:pPr>
      <w:r w:rsidRPr="1CF67D69" w:rsidR="1CF67D69">
        <w:rPr>
          <w:rFonts w:eastAsia="Times New Roman" w:cs="Calibri" w:cstheme="minorAscii"/>
        </w:rPr>
        <w:t>Title IX bars discrimination on the basis of sex in education, and the new rules would make clear this includes discrimination based on sexual orientation and gender identity, among other things, according to two people familiar with a draft of the proposed regulation who spoke on the condition of anonymity because they were not authorized to publicly comment on the subject.</w:t>
      </w:r>
    </w:p>
    <w:p w:rsidR="006C51D1" w:rsidP="1CF67D69" w:rsidRDefault="006C51D1" w14:paraId="368C5E45" w14:textId="36C4E091">
      <w:pPr>
        <w:pStyle w:val="Normal"/>
        <w:spacing w:after="0" w:line="240" w:lineRule="auto"/>
      </w:pPr>
      <w:r w:rsidRPr="1CF67D69" w:rsidR="1CF67D69">
        <w:rPr>
          <w:rFonts w:eastAsia="Times New Roman" w:cs="Calibri" w:cstheme="minorAscii"/>
        </w:rPr>
        <w:t xml:space="preserve"> </w:t>
      </w:r>
    </w:p>
    <w:p w:rsidR="006C51D1" w:rsidP="1CF67D69" w:rsidRDefault="006C51D1" w14:paraId="1F966C78" w14:textId="009307FD">
      <w:pPr>
        <w:pStyle w:val="Normal"/>
        <w:spacing w:after="0" w:line="240" w:lineRule="auto"/>
      </w:pPr>
      <w:r w:rsidRPr="1CF67D69" w:rsidR="1CF67D69">
        <w:rPr>
          <w:rFonts w:eastAsia="Times New Roman" w:cs="Calibri" w:cstheme="minorAscii"/>
        </w:rPr>
        <w:t>Regulations carry the power of law. The rules, if finalized, would set up a clash with state laws that bar transgender women from competing in women’s sports. Those statutes are already being challenged in the courts.</w:t>
      </w:r>
    </w:p>
    <w:p w:rsidR="00FD6AC1" w:rsidP="006C51D1" w:rsidRDefault="00FD6AC1" w14:paraId="73C29C79" w14:textId="0BF9BA3B">
      <w:pPr>
        <w:spacing w:after="0" w:line="240" w:lineRule="auto"/>
        <w:rPr>
          <w:rFonts w:eastAsia="Times New Roman" w:cstheme="minorHAnsi"/>
          <w:szCs w:val="24"/>
        </w:rPr>
      </w:pPr>
    </w:p>
    <w:p w:rsidR="00FD6AC1" w:rsidP="006C51D1" w:rsidRDefault="00FD6AC1" w14:paraId="066A2F0C" w14:textId="329B8905">
      <w:pPr>
        <w:spacing w:after="0" w:line="240" w:lineRule="auto"/>
        <w:rPr>
          <w:rFonts w:eastAsia="Times New Roman" w:cstheme="minorHAnsi"/>
          <w:szCs w:val="24"/>
        </w:rPr>
      </w:pPr>
    </w:p>
    <w:p w:rsidRPr="00FD6AC1" w:rsidR="00FD6AC1" w:rsidP="1CF67D69" w:rsidRDefault="00FD6AC1" w14:paraId="13E45E5C" w14:textId="0B9A3A74">
      <w:pPr>
        <w:pStyle w:val="NoSpacing"/>
        <w:bidi w:val="0"/>
        <w:spacing w:before="0" w:beforeAutospacing="off" w:after="0" w:afterAutospacing="off" w:line="240" w:lineRule="auto"/>
        <w:ind w:left="0" w:right="0"/>
        <w:jc w:val="left"/>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Reflections:</w:t>
      </w:r>
    </w:p>
    <w:p w:rsidR="00FD6AC1" w:rsidP="006C51D1" w:rsidRDefault="00FD6AC1" w14:paraId="3C433F38" w14:textId="7ADD1411">
      <w:pPr>
        <w:spacing w:after="0" w:line="240" w:lineRule="auto"/>
        <w:rPr>
          <w:rFonts w:eastAsia="Times New Roman" w:cstheme="minorHAnsi"/>
          <w:szCs w:val="24"/>
        </w:rPr>
      </w:pPr>
    </w:p>
    <w:p w:rsidR="00FD6AC1" w:rsidP="006C51D1" w:rsidRDefault="00FD6AC1" w14:paraId="0E57D062" w14:textId="59E1EAFC">
      <w:pPr>
        <w:spacing w:after="0" w:line="240" w:lineRule="auto"/>
        <w:rPr>
          <w:rFonts w:eastAsia="Times New Roman" w:cstheme="minorHAnsi"/>
          <w:szCs w:val="24"/>
        </w:rPr>
      </w:pPr>
    </w:p>
    <w:p w:rsidRPr="006C51D1" w:rsidR="00FD6AC1" w:rsidP="006C51D1" w:rsidRDefault="00FD6AC1" w14:paraId="4B00A5E8" w14:textId="77777777">
      <w:pPr>
        <w:spacing w:after="0" w:line="240" w:lineRule="auto"/>
        <w:rPr>
          <w:rFonts w:eastAsia="Times New Roman" w:cstheme="minorHAnsi"/>
          <w:szCs w:val="24"/>
        </w:rPr>
      </w:pPr>
    </w:p>
    <w:p w:rsidRPr="006C51D1" w:rsidR="006C51D1" w:rsidP="006C51D1" w:rsidRDefault="006C51D1" w14:paraId="756FBBE5" w14:textId="77777777">
      <w:pPr>
        <w:spacing w:after="0" w:line="240" w:lineRule="auto"/>
        <w:rPr>
          <w:rFonts w:eastAsia="Times New Roman" w:cstheme="minorHAnsi"/>
          <w:szCs w:val="24"/>
        </w:rPr>
      </w:pPr>
    </w:p>
    <w:tbl>
      <w:tblPr>
        <w:tblStyle w:val="TableGrid"/>
        <w:tblW w:w="9925" w:type="dxa"/>
        <w:tblLook w:val="04A0" w:firstRow="1" w:lastRow="0" w:firstColumn="1" w:lastColumn="0" w:noHBand="0" w:noVBand="1"/>
      </w:tblPr>
      <w:tblGrid>
        <w:gridCol w:w="2712"/>
        <w:gridCol w:w="7213"/>
      </w:tblGrid>
      <w:tr w:rsidRPr="006C51D1" w:rsidR="006C51D1" w:rsidTr="1CF67D69" w14:paraId="344420AB" w14:textId="77777777">
        <w:tc>
          <w:tcPr>
            <w:tcW w:w="9925" w:type="dxa"/>
            <w:gridSpan w:val="2"/>
            <w:shd w:val="clear" w:color="auto" w:fill="514843"/>
            <w:tcMar/>
          </w:tcPr>
          <w:p w:rsidRPr="006C51D1" w:rsidR="006C51D1" w:rsidP="1CF67D69" w:rsidRDefault="006C51D1" w14:paraId="5A8826C4" w14:textId="2061F6E0">
            <w:pPr>
              <w:rPr>
                <w:rFonts w:eastAsia="Times New Roman" w:cs="Calibri" w:cstheme="minorAscii"/>
                <w:b w:val="1"/>
                <w:bCs w:val="1"/>
              </w:rPr>
            </w:pPr>
            <w:r w:rsidRPr="1CF67D69" w:rsidR="1CF67D69">
              <w:rPr>
                <w:rFonts w:eastAsia="Times New Roman" w:cs="Calibri" w:cstheme="minorAscii"/>
                <w:b w:val="1"/>
                <w:bCs w:val="1"/>
                <w:color w:val="FFFFCC"/>
              </w:rPr>
              <w:t>Scenario #4: Swimming Ban</w:t>
            </w:r>
          </w:p>
        </w:tc>
      </w:tr>
      <w:tr w:rsidRPr="006C51D1" w:rsidR="006C51D1" w:rsidTr="1CF67D69" w14:paraId="3B061C29" w14:textId="77777777">
        <w:trPr>
          <w:trHeight w:val="611"/>
        </w:trPr>
        <w:tc>
          <w:tcPr>
            <w:tcW w:w="2712" w:type="dxa"/>
            <w:shd w:val="clear" w:color="auto" w:fill="auto"/>
            <w:tcMar/>
          </w:tcPr>
          <w:p w:rsidRPr="006C51D1" w:rsidR="006C51D1" w:rsidP="1CF67D69" w:rsidRDefault="006C51D1" w14:paraId="34A61671" w14:textId="1B1D9F7D">
            <w:pPr>
              <w:rPr>
                <w:rFonts w:eastAsia="Times New Roman" w:cs="Calibri" w:cstheme="minorAscii"/>
                <w:b w:val="1"/>
                <w:bCs w:val="1"/>
              </w:rPr>
            </w:pPr>
            <w:r w:rsidRPr="1CF67D69" w:rsidR="1CF67D69">
              <w:rPr>
                <w:rFonts w:eastAsia="Times New Roman" w:cs="Calibri" w:cstheme="minorAscii"/>
                <w:b w:val="1"/>
                <w:bCs w:val="1"/>
              </w:rPr>
              <w:t xml:space="preserve">Expression of Oppression: </w:t>
            </w:r>
          </w:p>
        </w:tc>
        <w:tc>
          <w:tcPr>
            <w:tcW w:w="7213" w:type="dxa"/>
            <w:tcMar/>
          </w:tcPr>
          <w:p w:rsidRPr="006C51D1" w:rsidR="006C51D1" w:rsidP="00183858" w:rsidRDefault="006C51D1" w14:paraId="62B7AA1E" w14:textId="77777777">
            <w:pPr>
              <w:rPr>
                <w:rFonts w:eastAsia="Times New Roman" w:cstheme="minorHAnsi"/>
                <w:b/>
                <w:szCs w:val="24"/>
              </w:rPr>
            </w:pPr>
          </w:p>
        </w:tc>
      </w:tr>
    </w:tbl>
    <w:p w:rsidRPr="006C51D1" w:rsidR="006C51D1" w:rsidP="1CF67D69" w:rsidRDefault="006C51D1" w14:paraId="747333DF" w14:textId="4818B9C1">
      <w:pPr>
        <w:pStyle w:val="NoSpacing"/>
        <w:rPr>
          <w:rFonts w:ascii="Calibri" w:hAnsi="Calibri" w:eastAsia="Times New Roman" w:cs="Calibri" w:asciiTheme="minorAscii" w:hAnsiTheme="minorAscii" w:cstheme="minorAscii"/>
          <w:b w:val="1"/>
          <w:bCs w:val="1"/>
          <w:color w:val="514843"/>
          <w:sz w:val="22"/>
          <w:szCs w:val="22"/>
          <w:u w:val="single"/>
          <w:lang w:val="en"/>
        </w:rPr>
      </w:pPr>
      <w:hyperlink r:id="Rc20c4803aeac4da4">
        <w:r w:rsidRPr="1CF67D69" w:rsidR="1CF67D69">
          <w:rPr>
            <w:rStyle w:val="Hyperlink"/>
            <w:rFonts w:ascii="Calibri" w:hAnsi="Calibri" w:eastAsia="Times New Roman" w:cs="Calibri" w:asciiTheme="minorAscii" w:hAnsiTheme="minorAscii" w:cstheme="minorAscii"/>
            <w:b w:val="1"/>
            <w:bCs w:val="1"/>
            <w:sz w:val="22"/>
            <w:szCs w:val="22"/>
            <w:lang w:val="en"/>
          </w:rPr>
          <w:t>https://www.nydailynews.com/sports/more-sports/ny-fina-world-swimming-bans-transgender-athletes-elite-women-lia-thomas-20220619-hxjhhrmwaffapibcp3lnogy2hm-story.html</w:t>
        </w:r>
      </w:hyperlink>
      <w:r w:rsidRPr="1CF67D69" w:rsidR="1CF67D69">
        <w:rPr>
          <w:rFonts w:ascii="Calibri" w:hAnsi="Calibri" w:eastAsia="Times New Roman" w:cs="Calibri" w:asciiTheme="minorAscii" w:hAnsiTheme="minorAscii" w:cstheme="minorAscii"/>
          <w:b w:val="1"/>
          <w:bCs w:val="1"/>
          <w:color w:val="514843"/>
          <w:sz w:val="22"/>
          <w:szCs w:val="22"/>
          <w:u w:val="single"/>
          <w:lang w:val="en"/>
        </w:rPr>
        <w:t xml:space="preserve"> </w:t>
      </w:r>
    </w:p>
    <w:p w:rsidRPr="006C51D1" w:rsidR="006C51D1" w:rsidP="1CF67D69" w:rsidRDefault="006C51D1" w14:paraId="0DA49E7A" w14:textId="7F6053A2">
      <w:pPr>
        <w:pStyle w:val="NoSpacing"/>
        <w:rPr>
          <w:rFonts w:ascii="Calibri" w:hAnsi="Calibri" w:cs="Calibri" w:asciiTheme="minorAscii" w:hAnsiTheme="minorAscii" w:cstheme="minorAscii"/>
          <w:lang w:val="en"/>
        </w:rPr>
      </w:pPr>
    </w:p>
    <w:p w:rsidR="1CF67D69" w:rsidP="1CF67D69" w:rsidRDefault="1CF67D69" w14:paraId="4F6810C0" w14:textId="3E2B07C8">
      <w:pPr>
        <w:pStyle w:val="NoSpacing"/>
      </w:pPr>
      <w:r>
        <w:drawing>
          <wp:inline wp14:editId="09B55E16" wp14:anchorId="08B37B96">
            <wp:extent cx="1027906" cy="685271"/>
            <wp:effectExtent l="0" t="0" r="0" b="0"/>
            <wp:docPr id="334644612" name="" title=""/>
            <wp:cNvGraphicFramePr>
              <a:graphicFrameLocks noChangeAspect="1"/>
            </wp:cNvGraphicFramePr>
            <a:graphic>
              <a:graphicData uri="http://schemas.openxmlformats.org/drawingml/2006/picture">
                <pic:pic>
                  <pic:nvPicPr>
                    <pic:cNvPr id="0" name=""/>
                    <pic:cNvPicPr/>
                  </pic:nvPicPr>
                  <pic:blipFill>
                    <a:blip r:embed="R46fb2c25c63345d5">
                      <a:extLst>
                        <a:ext xmlns:a="http://schemas.openxmlformats.org/drawingml/2006/main" uri="{28A0092B-C50C-407E-A947-70E740481C1C}">
                          <a14:useLocalDpi val="0"/>
                        </a:ext>
                      </a:extLst>
                    </a:blip>
                    <a:stretch>
                      <a:fillRect/>
                    </a:stretch>
                  </pic:blipFill>
                  <pic:spPr>
                    <a:xfrm>
                      <a:off x="0" y="0"/>
                      <a:ext cx="1027906" cy="685271"/>
                    </a:xfrm>
                    <a:prstGeom prst="rect">
                      <a:avLst/>
                    </a:prstGeom>
                  </pic:spPr>
                </pic:pic>
              </a:graphicData>
            </a:graphic>
          </wp:inline>
        </w:drawing>
      </w:r>
      <w:r w:rsidRPr="1CF67D69" w:rsidR="1CF67D69">
        <w:rPr>
          <w:rFonts w:ascii="Calibri" w:hAnsi="Calibri" w:cs="Calibri" w:asciiTheme="minorAscii" w:hAnsiTheme="minorAscii" w:cstheme="minorAscii"/>
          <w:lang w:val="en"/>
        </w:rPr>
        <w:t>Transgender women have been effectively banned from competing in women’s events, swimming’s international governing body ruled Sunday.</w:t>
      </w:r>
    </w:p>
    <w:p w:rsidR="1CF67D69" w:rsidP="1CF67D69" w:rsidRDefault="1CF67D69" w14:paraId="79DE70F9" w14:textId="72CB264D">
      <w:pPr>
        <w:pStyle w:val="NoSpacing"/>
      </w:pPr>
      <w:r w:rsidRPr="1CF67D69" w:rsidR="1CF67D69">
        <w:rPr>
          <w:rFonts w:ascii="Calibri" w:hAnsi="Calibri" w:cs="Calibri" w:asciiTheme="minorAscii" w:hAnsiTheme="minorAscii" w:cstheme="minorAscii"/>
          <w:lang w:val="en"/>
        </w:rPr>
        <w:t xml:space="preserve"> </w:t>
      </w:r>
    </w:p>
    <w:p w:rsidR="1CF67D69" w:rsidP="1CF67D69" w:rsidRDefault="1CF67D69" w14:paraId="11E366C1" w14:textId="334DB2B8">
      <w:pPr>
        <w:pStyle w:val="NoSpacing"/>
      </w:pPr>
      <w:r w:rsidRPr="1CF67D69" w:rsidR="1CF67D69">
        <w:rPr>
          <w:rFonts w:ascii="Calibri" w:hAnsi="Calibri" w:cs="Calibri" w:asciiTheme="minorAscii" w:hAnsiTheme="minorAscii" w:cstheme="minorAscii"/>
          <w:lang w:val="en"/>
        </w:rPr>
        <w:t>In voting to restrict the participation of transgender athletes, FINA members announced a new “gender inclusion policy” that permits only swimmers who transitioned before age 12 to compete in women’s events.</w:t>
      </w:r>
    </w:p>
    <w:p w:rsidR="1CF67D69" w:rsidP="1CF67D69" w:rsidRDefault="1CF67D69" w14:paraId="535B00B9" w14:textId="2C59238C">
      <w:pPr>
        <w:pStyle w:val="NoSpacing"/>
        <w:rPr>
          <w:rFonts w:ascii="Calibri" w:hAnsi="Calibri" w:cs="Calibri" w:asciiTheme="minorAscii" w:hAnsiTheme="minorAscii" w:cstheme="minorAscii"/>
          <w:lang w:val="en"/>
        </w:rPr>
      </w:pPr>
    </w:p>
    <w:p w:rsidR="1CF67D69" w:rsidP="1CF67D69" w:rsidRDefault="1CF67D69" w14:paraId="46D20622" w14:textId="295E2FA9">
      <w:pPr>
        <w:pStyle w:val="NoSpacing"/>
        <w:rPr>
          <w:rFonts w:ascii="Calibri" w:hAnsi="Calibri" w:cs="Calibri" w:asciiTheme="minorAscii" w:hAnsiTheme="minorAscii" w:cstheme="minorAscii"/>
          <w:lang w:val="en"/>
        </w:rPr>
      </w:pPr>
      <w:r w:rsidRPr="1CF67D69" w:rsidR="1CF67D69">
        <w:rPr>
          <w:rFonts w:ascii="Calibri" w:hAnsi="Calibri" w:cs="Calibri" w:asciiTheme="minorAscii" w:hAnsiTheme="minorAscii" w:cstheme="minorAscii"/>
          <w:lang w:val="en"/>
        </w:rPr>
        <w:t>Transgender rights have been a hotly debated issue in swimming after University of Pennsylvania swimmer Lia Thomas became the first transgender NCAA champion in Division I history. She won the women’s 500-yard freestyle in March, leading to some parents and competitors to complain that she had an unfair advantage.</w:t>
      </w:r>
    </w:p>
    <w:p w:rsidR="1CF67D69" w:rsidP="1CF67D69" w:rsidRDefault="1CF67D69" w14:paraId="1804834A" w14:textId="0944FA1A">
      <w:pPr>
        <w:pStyle w:val="NoSpacing"/>
      </w:pPr>
      <w:r w:rsidRPr="1CF67D69" w:rsidR="1CF67D69">
        <w:rPr>
          <w:rFonts w:ascii="Calibri" w:hAnsi="Calibri" w:cs="Calibri" w:asciiTheme="minorAscii" w:hAnsiTheme="minorAscii" w:cstheme="minorAscii"/>
          <w:lang w:val="en"/>
        </w:rPr>
        <w:t xml:space="preserve"> </w:t>
      </w:r>
    </w:p>
    <w:p w:rsidR="1CF67D69" w:rsidP="1CF67D69" w:rsidRDefault="1CF67D69" w14:paraId="6DBA6C0B" w14:textId="73DB907C">
      <w:pPr>
        <w:pStyle w:val="NoSpacing"/>
      </w:pPr>
      <w:r w:rsidRPr="1CF67D69" w:rsidR="1CF67D69">
        <w:rPr>
          <w:rFonts w:ascii="Calibri" w:hAnsi="Calibri" w:cs="Calibri" w:asciiTheme="minorAscii" w:hAnsiTheme="minorAscii" w:cstheme="minorAscii"/>
          <w:lang w:val="en"/>
        </w:rPr>
        <w:t>Thomas competed on the men’s team at Penn before transitioning. She competed as a woman for the first time in 2021-22 after meeting NCAA standards for competition after undergoing testosterone suppression therapy for more than two years.</w:t>
      </w:r>
    </w:p>
    <w:p w:rsidRPr="006C51D1" w:rsidR="006C51D1" w:rsidP="006C51D1" w:rsidRDefault="006C51D1" w14:paraId="2D75593A" w14:textId="09ECC4CA">
      <w:pPr>
        <w:pStyle w:val="NoSpacing"/>
        <w:rPr>
          <w:rFonts w:asciiTheme="minorHAnsi" w:hAnsiTheme="minorHAnsi" w:cstheme="minorHAnsi"/>
          <w:lang w:val="en"/>
        </w:rPr>
      </w:pPr>
    </w:p>
    <w:p w:rsidRPr="00FD6AC1" w:rsidR="006C51D1" w:rsidP="006C51D1" w:rsidRDefault="006C51D1" w14:paraId="5B462E22" w14:textId="0A1B59D4">
      <w:pPr>
        <w:pStyle w:val="NoSpacing"/>
        <w:rPr>
          <w:rFonts w:asciiTheme="minorHAnsi" w:hAnsiTheme="minorHAnsi" w:cstheme="minorHAnsi"/>
          <w:b/>
          <w:lang w:val="en"/>
        </w:rPr>
      </w:pPr>
      <w:r w:rsidRPr="00FD6AC1">
        <w:rPr>
          <w:rFonts w:asciiTheme="minorHAnsi" w:hAnsiTheme="minorHAnsi" w:cstheme="minorHAnsi"/>
          <w:b/>
          <w:lang w:val="en"/>
        </w:rPr>
        <w:t xml:space="preserve">Reflections: </w:t>
      </w:r>
    </w:p>
    <w:p w:rsidRPr="006C51D1" w:rsidR="006C51D1" w:rsidP="006C51D1" w:rsidRDefault="006C51D1" w14:paraId="65DD39BF" w14:textId="72FD4F57">
      <w:pPr>
        <w:pStyle w:val="NoSpacing"/>
        <w:rPr>
          <w:rFonts w:asciiTheme="minorHAnsi" w:hAnsiTheme="minorHAnsi" w:cstheme="minorHAnsi"/>
          <w:lang w:val="en"/>
        </w:rPr>
      </w:pPr>
    </w:p>
    <w:p w:rsidRPr="006C51D1" w:rsidR="006C51D1" w:rsidP="006C51D1" w:rsidRDefault="006C51D1" w14:paraId="7AD9BF94" w14:textId="0E977E17">
      <w:pPr>
        <w:pStyle w:val="NoSpacing"/>
        <w:rPr>
          <w:rFonts w:asciiTheme="minorHAnsi" w:hAnsiTheme="minorHAnsi" w:cstheme="minorHAnsi"/>
          <w:lang w:val="en"/>
        </w:rPr>
      </w:pPr>
    </w:p>
    <w:p w:rsidRPr="006C51D1" w:rsidR="006C51D1" w:rsidP="006C51D1" w:rsidRDefault="006C51D1" w14:paraId="64CCEC6E" w14:textId="77777777">
      <w:pPr>
        <w:pStyle w:val="NoSpacing"/>
        <w:rPr>
          <w:rFonts w:asciiTheme="minorHAnsi" w:hAnsiTheme="minorHAnsi" w:cstheme="minorHAnsi"/>
          <w:lang w:val="en"/>
        </w:rPr>
      </w:pPr>
    </w:p>
    <w:p w:rsidRPr="006C51D1" w:rsidR="006C51D1" w:rsidP="006C51D1" w:rsidRDefault="006C51D1" w14:paraId="06B29035" w14:textId="77777777">
      <w:pPr>
        <w:spacing w:after="0" w:line="240" w:lineRule="auto"/>
        <w:rPr>
          <w:rFonts w:eastAsia="Times New Roman" w:cstheme="minorHAnsi"/>
          <w:szCs w:val="24"/>
        </w:rPr>
      </w:pPr>
    </w:p>
    <w:tbl>
      <w:tblPr>
        <w:tblStyle w:val="TableGrid"/>
        <w:tblW w:w="9926" w:type="dxa"/>
        <w:tblLook w:val="04A0" w:firstRow="1" w:lastRow="0" w:firstColumn="1" w:lastColumn="0" w:noHBand="0" w:noVBand="1"/>
      </w:tblPr>
      <w:tblGrid>
        <w:gridCol w:w="2725"/>
        <w:gridCol w:w="7201"/>
      </w:tblGrid>
      <w:tr w:rsidRPr="006C51D1" w:rsidR="006C51D1" w:rsidTr="1CF67D69" w14:paraId="07CB83E3" w14:textId="77777777">
        <w:tc>
          <w:tcPr>
            <w:tcW w:w="9926" w:type="dxa"/>
            <w:gridSpan w:val="2"/>
            <w:shd w:val="clear" w:color="auto" w:fill="514843"/>
            <w:tcMar/>
          </w:tcPr>
          <w:p w:rsidRPr="006C51D1" w:rsidR="006C51D1" w:rsidP="00183858" w:rsidRDefault="006C51D1" w14:paraId="0B52EFF0" w14:textId="77777777">
            <w:pPr>
              <w:rPr>
                <w:rFonts w:eastAsia="Times New Roman" w:cstheme="minorHAnsi"/>
                <w:b/>
                <w:szCs w:val="24"/>
              </w:rPr>
            </w:pPr>
            <w:r w:rsidRPr="006C51D1">
              <w:rPr>
                <w:rFonts w:eastAsia="Times New Roman" w:cstheme="minorHAnsi"/>
                <w:b/>
                <w:color w:val="FFFFCC"/>
                <w:szCs w:val="24"/>
              </w:rPr>
              <w:t>Scenario #5: Biracial Boy Pushed Off Table</w:t>
            </w:r>
          </w:p>
        </w:tc>
      </w:tr>
      <w:tr w:rsidRPr="006C51D1" w:rsidR="006C51D1" w:rsidTr="1CF67D69" w14:paraId="142F80C1" w14:textId="77777777">
        <w:trPr>
          <w:trHeight w:val="611"/>
        </w:trPr>
        <w:tc>
          <w:tcPr>
            <w:tcW w:w="2725" w:type="dxa"/>
            <w:shd w:val="clear" w:color="auto" w:fill="auto"/>
            <w:tcMar/>
          </w:tcPr>
          <w:p w:rsidRPr="006C51D1" w:rsidR="006C51D1" w:rsidP="1CF67D69" w:rsidRDefault="006C51D1" w14:paraId="258F49B3" w14:textId="63C12E45">
            <w:pPr>
              <w:rPr>
                <w:rFonts w:eastAsia="Times New Roman" w:cs="Calibri" w:cstheme="minorAscii"/>
                <w:b w:val="1"/>
                <w:bCs w:val="1"/>
              </w:rPr>
            </w:pPr>
            <w:r w:rsidRPr="1CF67D69" w:rsidR="1CF67D69">
              <w:rPr>
                <w:rFonts w:eastAsia="Times New Roman" w:cs="Calibri" w:cstheme="minorAscii"/>
                <w:b w:val="1"/>
                <w:bCs w:val="1"/>
              </w:rPr>
              <w:t xml:space="preserve">Expression of Oppression: </w:t>
            </w:r>
          </w:p>
        </w:tc>
        <w:tc>
          <w:tcPr>
            <w:tcW w:w="7201" w:type="dxa"/>
            <w:tcMar/>
          </w:tcPr>
          <w:p w:rsidRPr="006C51D1" w:rsidR="006C51D1" w:rsidP="00183858" w:rsidRDefault="006C51D1" w14:paraId="050B0E48" w14:textId="77777777">
            <w:pPr>
              <w:rPr>
                <w:rFonts w:eastAsia="Times New Roman" w:cstheme="minorHAnsi"/>
                <w:b/>
                <w:szCs w:val="24"/>
              </w:rPr>
            </w:pPr>
          </w:p>
        </w:tc>
      </w:tr>
    </w:tbl>
    <w:p w:rsidRPr="006C51D1" w:rsidR="006C51D1" w:rsidP="006C51D1" w:rsidRDefault="006C51D1" w14:paraId="7D6B201C" w14:textId="77777777">
      <w:pPr>
        <w:pStyle w:val="NoSpacing"/>
        <w:rPr>
          <w:rFonts w:asciiTheme="minorHAnsi" w:hAnsiTheme="minorHAnsi" w:cstheme="minorHAnsi"/>
          <w:sz w:val="20"/>
        </w:rPr>
      </w:pPr>
      <w:r w:rsidRPr="006C51D1">
        <w:rPr>
          <w:rFonts w:asciiTheme="minorHAnsi" w:hAnsiTheme="minorHAnsi" w:cstheme="minorHAnsi"/>
          <w:noProof/>
          <w:color w:val="0000FF"/>
          <w:sz w:val="22"/>
          <w:szCs w:val="27"/>
        </w:rPr>
        <w:drawing>
          <wp:anchor distT="0" distB="0" distL="114300" distR="114300" simplePos="0" relativeHeight="251663360" behindDoc="0" locked="0" layoutInCell="1" allowOverlap="1" wp14:anchorId="1639BA15" wp14:editId="2877180A">
            <wp:simplePos x="0" y="0"/>
            <wp:positionH relativeFrom="margin">
              <wp:align>right</wp:align>
            </wp:positionH>
            <wp:positionV relativeFrom="paragraph">
              <wp:posOffset>136525</wp:posOffset>
            </wp:positionV>
            <wp:extent cx="1892935" cy="1263650"/>
            <wp:effectExtent l="0" t="0" r="0" b="0"/>
            <wp:wrapSquare wrapText="bothSides"/>
            <wp:docPr id="6" name="Picture 6" descr="Image result for lynching k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result for lynching kid">
                      <a:hlinkClick r:id="rId10" tgtFrame="&quot;_blank&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2935" cy="1263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51D1">
        <w:rPr>
          <w:rFonts w:asciiTheme="minorHAnsi" w:hAnsiTheme="minorHAnsi" w:cstheme="minorHAnsi"/>
          <w:sz w:val="20"/>
        </w:rPr>
        <w:t xml:space="preserve">Associated Press   September 12, 2017 </w:t>
      </w:r>
    </w:p>
    <w:p w:rsidRPr="007C6458" w:rsidR="006C51D1" w:rsidP="006C51D1" w:rsidRDefault="006C51D1" w14:paraId="11BBD4A0" w14:textId="77777777">
      <w:pPr>
        <w:pStyle w:val="NoSpacing"/>
        <w:rPr>
          <w:rFonts w:asciiTheme="minorHAnsi" w:hAnsiTheme="minorHAnsi" w:cstheme="minorHAnsi"/>
          <w:sz w:val="22"/>
        </w:rPr>
      </w:pPr>
      <w:r w:rsidRPr="007C6458">
        <w:rPr>
          <w:rFonts w:asciiTheme="minorHAnsi" w:hAnsiTheme="minorHAnsi" w:cstheme="minorHAnsi"/>
          <w:sz w:val="22"/>
        </w:rPr>
        <w:t>CLAREMONT, N.H. — Teenagers in New Hampshire taunted an 8-year-old biracial boy with racial slurs and then pushed him off of a picnic table with a rope around his neck, injuring him, the boy’s family said.</w:t>
      </w:r>
    </w:p>
    <w:p w:rsidRPr="007C6458" w:rsidR="006C51D1" w:rsidP="006C51D1" w:rsidRDefault="006C51D1" w14:paraId="6DD8BABD" w14:textId="77777777">
      <w:pPr>
        <w:pStyle w:val="NoSpacing"/>
        <w:rPr>
          <w:rFonts w:asciiTheme="minorHAnsi" w:hAnsiTheme="minorHAnsi" w:cstheme="minorHAnsi"/>
          <w:sz w:val="22"/>
        </w:rPr>
      </w:pPr>
      <w:r w:rsidRPr="007C6458">
        <w:rPr>
          <w:rFonts w:asciiTheme="minorHAnsi" w:hAnsiTheme="minorHAnsi" w:cstheme="minorHAnsi"/>
          <w:sz w:val="22"/>
        </w:rPr>
        <w:t xml:space="preserve">The child was treated at a hospital for cuts to his neck following the near-hanging Aug. 28 in Claremont, the boy’s grandmother, Lorrie Slattery, </w:t>
      </w:r>
      <w:hyperlink w:history="1" r:id="rId12">
        <w:r w:rsidRPr="007C6458">
          <w:rPr>
            <w:rFonts w:asciiTheme="minorHAnsi" w:hAnsiTheme="minorHAnsi" w:cstheme="minorHAnsi"/>
            <w:sz w:val="22"/>
          </w:rPr>
          <w:t>told the Valley News of West Lebanon, N.H.</w:t>
        </w:r>
      </w:hyperlink>
      <w:r w:rsidRPr="007C6458">
        <w:rPr>
          <w:rFonts w:asciiTheme="minorHAnsi" w:hAnsiTheme="minorHAnsi" w:cstheme="minorHAnsi"/>
          <w:sz w:val="22"/>
        </w:rPr>
        <w:t xml:space="preserve"> He has since been released and has returned to school in Claremont.</w:t>
      </w:r>
    </w:p>
    <w:p w:rsidRPr="007C6458" w:rsidR="006C51D1" w:rsidP="006C51D1" w:rsidRDefault="006C51D1" w14:paraId="2E80E2D7" w14:textId="77777777">
      <w:pPr>
        <w:pStyle w:val="NoSpacing"/>
        <w:rPr>
          <w:rFonts w:asciiTheme="minorHAnsi" w:hAnsiTheme="minorHAnsi" w:cstheme="minorHAnsi"/>
          <w:sz w:val="22"/>
        </w:rPr>
      </w:pPr>
    </w:p>
    <w:p w:rsidRPr="007C6458" w:rsidR="006C51D1" w:rsidP="006C51D1" w:rsidRDefault="006C51D1" w14:paraId="218B2773" w14:textId="77777777">
      <w:pPr>
        <w:pStyle w:val="NoSpacing"/>
        <w:rPr>
          <w:rFonts w:asciiTheme="minorHAnsi" w:hAnsiTheme="minorHAnsi" w:cstheme="minorHAnsi"/>
          <w:sz w:val="22"/>
        </w:rPr>
      </w:pPr>
      <w:r w:rsidRPr="007C6458">
        <w:rPr>
          <w:rFonts w:asciiTheme="minorHAnsi" w:hAnsiTheme="minorHAnsi" w:cstheme="minorHAnsi"/>
          <w:sz w:val="22"/>
        </w:rPr>
        <w:t>Slattery said the children were in a backyard when some of the teens got on the table and grabbed a rope that held a tire swing. It’s not clear how the rope got around the child’s neck, but Slattery said the teens pushed him off the table. No adults are believed to have witnessed the incident.</w:t>
      </w:r>
    </w:p>
    <w:p w:rsidRPr="007C6458" w:rsidR="00FD6AC1" w:rsidP="006C51D1" w:rsidRDefault="006C51D1" w14:paraId="27F680F6" w14:textId="78F3500B">
      <w:pPr>
        <w:pStyle w:val="NoSpacing"/>
        <w:rPr>
          <w:rFonts w:asciiTheme="minorHAnsi" w:hAnsiTheme="minorHAnsi" w:cstheme="minorHAnsi"/>
          <w:sz w:val="22"/>
        </w:rPr>
      </w:pPr>
      <w:r w:rsidRPr="007C6458">
        <w:rPr>
          <w:rFonts w:asciiTheme="minorHAnsi" w:hAnsiTheme="minorHAnsi" w:cstheme="minorHAnsi"/>
          <w:sz w:val="22"/>
        </w:rPr>
        <w:t>An expert on abuse who spoke to the boy at the hospital said he swung from his neck three times before being able to remove the rope, Slattery said. None of the teens came to his aid, she said.</w:t>
      </w:r>
    </w:p>
    <w:p w:rsidRPr="007C6458" w:rsidR="00FD6AC1" w:rsidP="006C51D1" w:rsidRDefault="00FD6AC1" w14:paraId="3972C846" w14:textId="0379EF3D">
      <w:pPr>
        <w:pStyle w:val="NoSpacing"/>
        <w:rPr>
          <w:rFonts w:asciiTheme="minorHAnsi" w:hAnsiTheme="minorHAnsi" w:cstheme="minorHAnsi"/>
          <w:sz w:val="22"/>
        </w:rPr>
      </w:pPr>
    </w:p>
    <w:p w:rsidRPr="00FD6AC1" w:rsidR="00FD6AC1" w:rsidP="006C51D1" w:rsidRDefault="00FD6AC1" w14:paraId="77DBA769" w14:textId="01D03C35">
      <w:pPr>
        <w:pStyle w:val="NoSpacing"/>
        <w:rPr>
          <w:rFonts w:asciiTheme="minorHAnsi" w:hAnsiTheme="minorHAnsi" w:cstheme="minorHAnsi"/>
          <w:b/>
        </w:rPr>
      </w:pPr>
      <w:r w:rsidRPr="00FD6AC1">
        <w:rPr>
          <w:rFonts w:asciiTheme="minorHAnsi" w:hAnsiTheme="minorHAnsi" w:cstheme="minorHAnsi"/>
          <w:b/>
        </w:rPr>
        <w:t>Reflections:</w:t>
      </w:r>
    </w:p>
    <w:p w:rsidR="00FD6AC1" w:rsidP="006C51D1" w:rsidRDefault="00FD6AC1" w14:paraId="2CA27EAB" w14:textId="257AC3A2">
      <w:pPr>
        <w:pStyle w:val="NoSpacing"/>
        <w:rPr>
          <w:rFonts w:asciiTheme="minorHAnsi" w:hAnsiTheme="minorHAnsi" w:cstheme="minorHAnsi"/>
        </w:rPr>
      </w:pPr>
    </w:p>
    <w:p w:rsidRPr="006C51D1" w:rsidR="007C6458" w:rsidP="006C51D1" w:rsidRDefault="007C6458" w14:paraId="71AFF4FE" w14:textId="77777777">
      <w:pPr>
        <w:pStyle w:val="NoSpacing"/>
        <w:rPr>
          <w:rFonts w:asciiTheme="minorHAnsi" w:hAnsiTheme="minorHAnsi" w:cstheme="minorHAnsi"/>
        </w:rPr>
      </w:pPr>
    </w:p>
    <w:p w:rsidRPr="006C51D1" w:rsidR="006C51D1" w:rsidP="006C51D1" w:rsidRDefault="006C51D1" w14:paraId="1698E672" w14:textId="77777777">
      <w:pPr>
        <w:pStyle w:val="NoSpacing"/>
        <w:rPr>
          <w:rFonts w:asciiTheme="minorHAnsi" w:hAnsiTheme="minorHAnsi" w:cstheme="minorHAnsi"/>
        </w:rPr>
      </w:pPr>
      <w:r w:rsidRPr="006C51D1">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2557"/>
        <w:gridCol w:w="7369"/>
      </w:tblGrid>
      <w:tr w:rsidRPr="006C51D1" w:rsidR="006C51D1" w:rsidTr="00183858" w14:paraId="1B31F300" w14:textId="77777777">
        <w:tc>
          <w:tcPr>
            <w:tcW w:w="10790" w:type="dxa"/>
            <w:gridSpan w:val="2"/>
            <w:shd w:val="clear" w:color="auto" w:fill="514843"/>
          </w:tcPr>
          <w:p w:rsidRPr="006C51D1" w:rsidR="006C51D1" w:rsidP="00183858" w:rsidRDefault="006C51D1" w14:paraId="02CD5B3D" w14:textId="77777777">
            <w:pPr>
              <w:rPr>
                <w:rFonts w:eastAsia="Times New Roman" w:cstheme="minorHAnsi"/>
                <w:b/>
                <w:szCs w:val="24"/>
              </w:rPr>
            </w:pPr>
            <w:r w:rsidRPr="006C51D1">
              <w:rPr>
                <w:rFonts w:eastAsia="Times New Roman" w:cstheme="minorHAnsi"/>
                <w:b/>
                <w:color w:val="FFFFCC"/>
                <w:szCs w:val="24"/>
              </w:rPr>
              <w:t>Scenario #6: The School-To-Prison Pipeline</w:t>
            </w:r>
          </w:p>
        </w:tc>
      </w:tr>
      <w:tr w:rsidRPr="006C51D1" w:rsidR="006C51D1" w:rsidTr="00183858" w14:paraId="3A513E8A" w14:textId="77777777">
        <w:tc>
          <w:tcPr>
            <w:tcW w:w="2695" w:type="dxa"/>
            <w:shd w:val="clear" w:color="auto" w:fill="auto"/>
          </w:tcPr>
          <w:p w:rsidRPr="006C51D1" w:rsidR="006C51D1" w:rsidP="00183858" w:rsidRDefault="006C51D1" w14:paraId="6644178C" w14:textId="77777777">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rsidR="006C51D1" w:rsidP="00183858" w:rsidRDefault="006C51D1" w14:paraId="1D99B011" w14:textId="77777777">
            <w:pPr>
              <w:rPr>
                <w:rFonts w:eastAsia="Times New Roman" w:cstheme="minorHAnsi"/>
                <w:b/>
                <w:szCs w:val="24"/>
              </w:rPr>
            </w:pPr>
          </w:p>
          <w:p w:rsidRPr="006C51D1" w:rsidR="00DC47EC" w:rsidP="00183858" w:rsidRDefault="00DC47EC" w14:paraId="5D4850D1" w14:textId="5EDE9F7F">
            <w:pPr>
              <w:rPr>
                <w:rFonts w:eastAsia="Times New Roman" w:cstheme="minorHAnsi"/>
                <w:b/>
                <w:szCs w:val="24"/>
              </w:rPr>
            </w:pPr>
          </w:p>
        </w:tc>
      </w:tr>
    </w:tbl>
    <w:p w:rsidRPr="006C51D1" w:rsidR="006C51D1" w:rsidP="006C51D1" w:rsidRDefault="006C51D1" w14:paraId="59D8FB17" w14:textId="573665B4">
      <w:pPr>
        <w:shd w:val="clear" w:color="auto" w:fill="FFFFFF"/>
        <w:spacing w:after="0" w:line="240" w:lineRule="auto"/>
        <w:jc w:val="center"/>
        <w:rPr>
          <w:rFonts w:eastAsia="Times New Roman" w:cstheme="minorHAnsi"/>
          <w:color w:val="737373"/>
        </w:rPr>
      </w:pPr>
    </w:p>
    <w:p w:rsidRPr="007C6458" w:rsidR="006C51D1" w:rsidP="006C51D1" w:rsidRDefault="00FD6AC1" w14:paraId="74257BB7" w14:textId="5CE890F7">
      <w:pPr>
        <w:pStyle w:val="NoSpacing"/>
        <w:rPr>
          <w:rFonts w:asciiTheme="minorHAnsi" w:hAnsiTheme="minorHAnsi" w:cstheme="minorHAnsi"/>
          <w:sz w:val="22"/>
        </w:rPr>
      </w:pPr>
      <w:r w:rsidRPr="007C6458">
        <w:rPr>
          <w:rFonts w:eastAsia="Times New Roman" w:asciiTheme="minorHAnsi" w:hAnsiTheme="minorHAnsi" w:cstheme="minorHAnsi"/>
          <w:noProof/>
          <w:color w:val="8B0000"/>
          <w:sz w:val="22"/>
        </w:rPr>
        <w:drawing>
          <wp:anchor distT="0" distB="0" distL="114300" distR="114300" simplePos="0" relativeHeight="251664384" behindDoc="0" locked="0" layoutInCell="1" allowOverlap="1" wp14:anchorId="228272EA" wp14:editId="383271D9">
            <wp:simplePos x="0" y="0"/>
            <wp:positionH relativeFrom="column">
              <wp:posOffset>4264465</wp:posOffset>
            </wp:positionH>
            <wp:positionV relativeFrom="paragraph">
              <wp:posOffset>77519</wp:posOffset>
            </wp:positionV>
            <wp:extent cx="1835785" cy="1089025"/>
            <wp:effectExtent l="0" t="0" r="0" b="0"/>
            <wp:wrapSquare wrapText="bothSides"/>
            <wp:docPr id="9" name="Picture 9" descr="http://www.suspensionstories.com/wp-content/uploads/2010/10/School-to-Prison-Illustration-300x178.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suspensionstories.com/wp-content/uploads/2010/10/School-to-Prison-Illustration-300x178.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35785" cy="1089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6458" w:rsidR="006C51D1">
        <w:rPr>
          <w:rFonts w:asciiTheme="minorHAnsi" w:hAnsiTheme="minorHAnsi" w:cstheme="minorHAnsi"/>
          <w:sz w:val="22"/>
        </w:rPr>
        <w:t>A significant number of Chicago students are pushed into the path of juvenile and adult prisons as a result of harsh disciplinary policies and high stakes testing.  By harsh disciplinary policies, we mean excessive security procedures and police involvement as well as the overuse of suspensions and expulsion for minor infractions.  These policies feed the “School to Prison Pipeline”, sometimes also called the “Schoolhouse to Jailhouse Track”.  Research suggests that students of color, in particular African American students, are disproportionately impacted by these punitive policies.</w:t>
      </w:r>
    </w:p>
    <w:p w:rsidRPr="007C6458" w:rsidR="006C51D1" w:rsidP="006C51D1" w:rsidRDefault="006C51D1" w14:paraId="5D081DEE" w14:textId="77777777">
      <w:pPr>
        <w:pStyle w:val="NoSpacing"/>
        <w:rPr>
          <w:rFonts w:asciiTheme="minorHAnsi" w:hAnsiTheme="minorHAnsi" w:cstheme="minorHAnsi"/>
          <w:sz w:val="22"/>
        </w:rPr>
      </w:pPr>
    </w:p>
    <w:p w:rsidRPr="007C6458" w:rsidR="006C51D1" w:rsidP="006C51D1" w:rsidRDefault="006C51D1" w14:paraId="1B711672" w14:textId="77777777">
      <w:pPr>
        <w:pStyle w:val="NoSpacing"/>
        <w:rPr>
          <w:rFonts w:asciiTheme="minorHAnsi" w:hAnsiTheme="minorHAnsi" w:cstheme="minorHAnsi"/>
          <w:sz w:val="22"/>
        </w:rPr>
      </w:pPr>
      <w:r w:rsidRPr="007C6458">
        <w:rPr>
          <w:rFonts w:asciiTheme="minorHAnsi" w:hAnsiTheme="minorHAnsi" w:cstheme="minorHAnsi"/>
          <w:sz w:val="22"/>
        </w:rPr>
        <w:t xml:space="preserve">As Matt Kelley has written: “Whether or not they realize it, the punishments school officials hand out can literally determine — and derail — the path of a student’s life. Which makes it even more critical that when schools make these decisions, they hand out discipline that’s fair.” </w:t>
      </w:r>
    </w:p>
    <w:p w:rsidRPr="007C6458" w:rsidR="00FD6AC1" w:rsidP="006C51D1" w:rsidRDefault="006C51D1" w14:paraId="7BCB3F9C" w14:textId="1CF1C6E7">
      <w:pPr>
        <w:pStyle w:val="NoSpacing"/>
        <w:rPr>
          <w:rFonts w:asciiTheme="minorHAnsi" w:hAnsiTheme="minorHAnsi" w:cstheme="minorHAnsi"/>
          <w:sz w:val="22"/>
        </w:rPr>
      </w:pPr>
      <w:r w:rsidRPr="007C6458">
        <w:rPr>
          <w:rFonts w:asciiTheme="minorHAnsi" w:hAnsiTheme="minorHAnsi" w:cstheme="minorHAnsi"/>
          <w:sz w:val="22"/>
        </w:rPr>
        <w:t xml:space="preserve">The “School to Prison Pipeline” describes a reality in which many young people are being pushed OUT of schools through zero tolerance policies, suspension, expulsion, discouragement and high stakes testing requirements; and INTO the juvenile and adult legal system. These zero tolerance policies involve the police in minor incidents and often lead to arrests, juvenile detention referrals, and even criminal charges and incarceration. </w:t>
      </w:r>
    </w:p>
    <w:p w:rsidR="00FD6AC1" w:rsidP="006C51D1" w:rsidRDefault="00FD6AC1" w14:paraId="026858B9" w14:textId="78206BA6">
      <w:pPr>
        <w:pStyle w:val="NoSpacing"/>
        <w:rPr>
          <w:rFonts w:asciiTheme="minorHAnsi" w:hAnsiTheme="minorHAnsi" w:cstheme="minorHAnsi"/>
        </w:rPr>
      </w:pPr>
    </w:p>
    <w:p w:rsidR="00FD6AC1" w:rsidP="006C51D1" w:rsidRDefault="00FD6AC1" w14:paraId="0ECEB339" w14:textId="71D45F61">
      <w:pPr>
        <w:pStyle w:val="NoSpacing"/>
        <w:rPr>
          <w:rFonts w:asciiTheme="minorHAnsi" w:hAnsiTheme="minorHAnsi" w:cstheme="minorHAnsi"/>
          <w:b/>
        </w:rPr>
      </w:pPr>
      <w:r w:rsidRPr="00FD6AC1">
        <w:rPr>
          <w:rFonts w:asciiTheme="minorHAnsi" w:hAnsiTheme="minorHAnsi" w:cstheme="minorHAnsi"/>
          <w:b/>
        </w:rPr>
        <w:t>Reflections:</w:t>
      </w:r>
    </w:p>
    <w:p w:rsidRPr="00FD6AC1" w:rsidR="007C6458" w:rsidP="006C51D1" w:rsidRDefault="007C6458" w14:paraId="7B5C00F9" w14:textId="77777777">
      <w:pPr>
        <w:pStyle w:val="NoSpacing"/>
        <w:rPr>
          <w:rFonts w:asciiTheme="minorHAnsi" w:hAnsiTheme="minorHAnsi" w:cstheme="minorHAnsi"/>
          <w:b/>
        </w:rPr>
      </w:pPr>
    </w:p>
    <w:p w:rsidR="00FD6AC1" w:rsidP="006C51D1" w:rsidRDefault="00FD6AC1" w14:paraId="10C1E177" w14:textId="065697A2">
      <w:pPr>
        <w:pStyle w:val="NoSpacing"/>
        <w:rPr>
          <w:rFonts w:asciiTheme="minorHAnsi" w:hAnsiTheme="minorHAnsi" w:cstheme="minorHAnsi"/>
        </w:rPr>
      </w:pPr>
    </w:p>
    <w:p w:rsidR="007C6458" w:rsidP="006C51D1" w:rsidRDefault="007C6458" w14:paraId="4303CFEF" w14:textId="044CD281">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2557"/>
        <w:gridCol w:w="7369"/>
      </w:tblGrid>
      <w:tr w:rsidRPr="006C51D1" w:rsidR="006C51D1" w:rsidTr="00DC47EC" w14:paraId="34C0C894" w14:textId="77777777">
        <w:tc>
          <w:tcPr>
            <w:tcW w:w="9926" w:type="dxa"/>
            <w:gridSpan w:val="2"/>
            <w:shd w:val="clear" w:color="auto" w:fill="514843"/>
          </w:tcPr>
          <w:p w:rsidRPr="006C51D1" w:rsidR="006C51D1" w:rsidP="00183858" w:rsidRDefault="006C51D1" w14:paraId="569BDED7" w14:textId="77777777">
            <w:pPr>
              <w:rPr>
                <w:rFonts w:eastAsia="Times New Roman" w:cstheme="minorHAnsi"/>
                <w:b/>
                <w:szCs w:val="24"/>
              </w:rPr>
            </w:pPr>
            <w:r w:rsidRPr="006C51D1">
              <w:rPr>
                <w:rFonts w:eastAsia="Times New Roman" w:cstheme="minorHAnsi"/>
                <w:b/>
                <w:color w:val="FFFFCC"/>
                <w:szCs w:val="24"/>
              </w:rPr>
              <w:lastRenderedPageBreak/>
              <w:t>Scenario #7: Woke Girls</w:t>
            </w:r>
          </w:p>
        </w:tc>
      </w:tr>
      <w:tr w:rsidRPr="006C51D1" w:rsidR="006C51D1" w:rsidTr="00DC47EC" w14:paraId="3E497057" w14:textId="77777777">
        <w:tc>
          <w:tcPr>
            <w:tcW w:w="2557" w:type="dxa"/>
            <w:shd w:val="clear" w:color="auto" w:fill="auto"/>
          </w:tcPr>
          <w:p w:rsidRPr="006C51D1" w:rsidR="006C51D1" w:rsidP="00183858" w:rsidRDefault="006C51D1" w14:paraId="62DBB3E0" w14:textId="77777777">
            <w:pPr>
              <w:rPr>
                <w:rFonts w:eastAsia="Times New Roman" w:cstheme="minorHAnsi"/>
                <w:b/>
                <w:szCs w:val="24"/>
              </w:rPr>
            </w:pPr>
            <w:r w:rsidRPr="006C51D1">
              <w:rPr>
                <w:rFonts w:eastAsia="Times New Roman" w:cstheme="minorHAnsi"/>
                <w:b/>
                <w:szCs w:val="24"/>
              </w:rPr>
              <w:t xml:space="preserve">Expression of Racism: </w:t>
            </w:r>
          </w:p>
        </w:tc>
        <w:tc>
          <w:tcPr>
            <w:tcW w:w="7369" w:type="dxa"/>
          </w:tcPr>
          <w:p w:rsidR="006C51D1" w:rsidP="00183858" w:rsidRDefault="006C51D1" w14:paraId="3B7EDEFB" w14:textId="77777777">
            <w:pPr>
              <w:rPr>
                <w:rFonts w:eastAsia="Times New Roman" w:cstheme="minorHAnsi"/>
                <w:b/>
                <w:szCs w:val="24"/>
              </w:rPr>
            </w:pPr>
          </w:p>
          <w:p w:rsidRPr="006C51D1" w:rsidR="00DC47EC" w:rsidP="00183858" w:rsidRDefault="00DC47EC" w14:paraId="2190779C" w14:textId="2C04495A">
            <w:pPr>
              <w:rPr>
                <w:rFonts w:eastAsia="Times New Roman" w:cstheme="minorHAnsi"/>
                <w:b/>
                <w:szCs w:val="24"/>
              </w:rPr>
            </w:pPr>
          </w:p>
        </w:tc>
      </w:tr>
    </w:tbl>
    <w:p w:rsidRPr="006C51D1" w:rsidR="006C51D1" w:rsidP="006C51D1" w:rsidRDefault="00FD6AC1" w14:paraId="22679D30" w14:textId="10CBF69B">
      <w:pPr>
        <w:pStyle w:val="NoSpacing"/>
        <w:rPr>
          <w:rFonts w:eastAsia="Times New Roman" w:asciiTheme="minorHAnsi" w:hAnsiTheme="minorHAnsi" w:cstheme="minorHAnsi"/>
          <w:sz w:val="18"/>
          <w:szCs w:val="18"/>
        </w:rPr>
      </w:pPr>
      <w:r w:rsidRPr="006C51D1">
        <w:rPr>
          <w:rFonts w:eastAsia="Times New Roman" w:asciiTheme="minorHAnsi" w:hAnsiTheme="minorHAnsi" w:cstheme="minorHAnsi"/>
          <w:noProof/>
          <w:sz w:val="27"/>
          <w:szCs w:val="27"/>
        </w:rPr>
        <w:drawing>
          <wp:anchor distT="0" distB="0" distL="114300" distR="114300" simplePos="0" relativeHeight="251665408" behindDoc="0" locked="0" layoutInCell="1" allowOverlap="1" wp14:anchorId="07609A23" wp14:editId="1217BB45">
            <wp:simplePos x="0" y="0"/>
            <wp:positionH relativeFrom="column">
              <wp:posOffset>4015740</wp:posOffset>
            </wp:positionH>
            <wp:positionV relativeFrom="paragraph">
              <wp:posOffset>263525</wp:posOffset>
            </wp:positionV>
            <wp:extent cx="2092325" cy="1073150"/>
            <wp:effectExtent l="0" t="0" r="3175" b="0"/>
            <wp:wrapSquare wrapText="bothSides"/>
            <wp:docPr id="10" name="Picture 10" descr="https://cdn-images-1.medium.com/max/1200/1*bzW-DvxLH1QVyEKRV2QnS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images-1.medium.com/max/1200/1*bzW-DvxLH1QVyEKRV2QnSg.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2325" cy="1073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51D1" w:rsidR="006C51D1">
        <w:rPr>
          <w:rFonts w:eastAsia="Times New Roman" w:asciiTheme="minorHAnsi" w:hAnsiTheme="minorHAnsi" w:cstheme="minorHAnsi"/>
          <w:sz w:val="18"/>
          <w:szCs w:val="18"/>
        </w:rPr>
        <w:t xml:space="preserve">Excerpts from an article written by educator Mickey Maki, creator of Woke Girls. </w:t>
      </w:r>
    </w:p>
    <w:p w:rsidRPr="006C51D1" w:rsidR="006C51D1" w:rsidP="006C51D1" w:rsidRDefault="006C51D1" w14:paraId="7C05FD45" w14:textId="003CCA6A">
      <w:pPr>
        <w:pStyle w:val="NoSpacing"/>
        <w:rPr>
          <w:rFonts w:eastAsia="Times New Roman" w:asciiTheme="minorHAnsi" w:hAnsiTheme="minorHAnsi" w:cstheme="minorHAnsi"/>
          <w:szCs w:val="24"/>
        </w:rPr>
      </w:pPr>
    </w:p>
    <w:p w:rsidRPr="002F4282" w:rsidR="006C51D1" w:rsidP="006C51D1" w:rsidRDefault="006C51D1" w14:paraId="0CD2412C" w14:textId="3E4D87E2">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Before school started every morning a 1st-grader student in my class, with very dark skin would visit me so I could apply cocoa butter lotion to his skin. I assumed it was just about the lotion, but when I tried to give him a bottle he could keep in his classroom, he cried and told me I was the only one who thought his skin was beautiful.</w:t>
      </w:r>
    </w:p>
    <w:p w:rsidRPr="002F4282" w:rsidR="006C51D1" w:rsidP="006C51D1" w:rsidRDefault="006C51D1" w14:paraId="791AE742" w14:textId="77777777">
      <w:pPr>
        <w:pStyle w:val="NoSpacing"/>
        <w:rPr>
          <w:rFonts w:eastAsia="Times New Roman" w:asciiTheme="minorHAnsi" w:hAnsiTheme="minorHAnsi" w:cstheme="minorHAnsi"/>
          <w:sz w:val="22"/>
        </w:rPr>
      </w:pPr>
    </w:p>
    <w:p w:rsidRPr="002F4282" w:rsidR="006C51D1" w:rsidP="006C51D1" w:rsidRDefault="006C51D1" w14:paraId="1826CA9C" w14:textId="77777777">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 xml:space="preserve">Just down the hall in the 3rd-grade ESL class, two Mexican American girls got into a fight. The cause? One girl called the other a “little Mexican girl.” </w:t>
      </w:r>
    </w:p>
    <w:p w:rsidRPr="002F4282" w:rsidR="006C51D1" w:rsidP="006C51D1" w:rsidRDefault="006C51D1" w14:paraId="2337916C" w14:textId="77777777">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It made me sad to see that little had changed since I was a child myself, when I was policed for not being black enough, while simultaneously taught that being black meant fewer options and bad hair.</w:t>
      </w:r>
    </w:p>
    <w:p w:rsidRPr="002F4282" w:rsidR="006C51D1" w:rsidP="006C51D1" w:rsidRDefault="006C51D1" w14:paraId="25D2B267" w14:textId="15AF020B">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Besides modeling self-love and loving my students, I made an effort to fill my classroom library with books that would support my students to be who they already were. That was quite the challenge.</w:t>
      </w:r>
    </w:p>
    <w:p w:rsidRPr="002F4282" w:rsidR="00FD6AC1" w:rsidP="006C51D1" w:rsidRDefault="00FD6AC1" w14:paraId="75EE1D96" w14:textId="4AF1E92B">
      <w:pPr>
        <w:pStyle w:val="NoSpacing"/>
        <w:rPr>
          <w:rFonts w:eastAsia="Times New Roman" w:asciiTheme="minorHAnsi" w:hAnsiTheme="minorHAnsi" w:cstheme="minorHAnsi"/>
          <w:sz w:val="22"/>
        </w:rPr>
      </w:pPr>
    </w:p>
    <w:p w:rsidRPr="007C6458" w:rsidR="00FD6AC1" w:rsidP="006C51D1" w:rsidRDefault="007C6458" w14:paraId="3D8B0331" w14:textId="638F2A77">
      <w:pPr>
        <w:pStyle w:val="NoSpacing"/>
        <w:rPr>
          <w:rFonts w:eastAsia="Times New Roman" w:asciiTheme="minorHAnsi" w:hAnsiTheme="minorHAnsi" w:cstheme="minorHAnsi"/>
          <w:b/>
          <w:szCs w:val="24"/>
        </w:rPr>
      </w:pPr>
      <w:r w:rsidRPr="007C6458">
        <w:rPr>
          <w:rFonts w:eastAsia="Times New Roman" w:asciiTheme="minorHAnsi" w:hAnsiTheme="minorHAnsi" w:cstheme="minorHAnsi"/>
          <w:b/>
          <w:szCs w:val="24"/>
        </w:rPr>
        <w:t>Reflections:</w:t>
      </w:r>
    </w:p>
    <w:p w:rsidR="00FD6AC1" w:rsidP="006C51D1" w:rsidRDefault="00FD6AC1" w14:paraId="223FE031" w14:textId="0788709A">
      <w:pPr>
        <w:pStyle w:val="NoSpacing"/>
        <w:rPr>
          <w:rFonts w:eastAsia="Times New Roman" w:asciiTheme="minorHAnsi" w:hAnsiTheme="minorHAnsi" w:cstheme="minorHAnsi"/>
          <w:szCs w:val="24"/>
        </w:rPr>
      </w:pPr>
    </w:p>
    <w:p w:rsidRPr="006C51D1" w:rsidR="00FD6AC1" w:rsidP="006C51D1" w:rsidRDefault="00FD6AC1" w14:paraId="39560A62" w14:textId="77777777">
      <w:pPr>
        <w:pStyle w:val="NoSpacing"/>
        <w:rPr>
          <w:rFonts w:eastAsia="Times New Roman" w:asciiTheme="minorHAnsi" w:hAnsiTheme="minorHAnsi" w:cstheme="minorHAnsi"/>
          <w:szCs w:val="24"/>
        </w:rPr>
      </w:pPr>
    </w:p>
    <w:p w:rsidRPr="006C51D1" w:rsidR="006C51D1" w:rsidP="006C51D1" w:rsidRDefault="006C51D1" w14:paraId="1F12EEEA" w14:textId="77777777">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2557"/>
        <w:gridCol w:w="7369"/>
      </w:tblGrid>
      <w:tr w:rsidRPr="006C51D1" w:rsidR="006C51D1" w:rsidTr="00183858" w14:paraId="0597480A" w14:textId="77777777">
        <w:tc>
          <w:tcPr>
            <w:tcW w:w="10790" w:type="dxa"/>
            <w:gridSpan w:val="2"/>
            <w:shd w:val="clear" w:color="auto" w:fill="514843"/>
          </w:tcPr>
          <w:p w:rsidRPr="006C51D1" w:rsidR="006C51D1" w:rsidP="00183858" w:rsidRDefault="006C51D1" w14:paraId="34644426" w14:textId="77777777">
            <w:pPr>
              <w:rPr>
                <w:rFonts w:eastAsia="Times New Roman" w:cstheme="minorHAnsi"/>
                <w:b/>
                <w:szCs w:val="24"/>
              </w:rPr>
            </w:pPr>
            <w:r w:rsidRPr="006C51D1">
              <w:rPr>
                <w:rFonts w:eastAsia="Times New Roman" w:cstheme="minorHAnsi"/>
                <w:b/>
                <w:color w:val="FFFFCC"/>
                <w:szCs w:val="24"/>
              </w:rPr>
              <w:t>Scenario #8: Doorway To A Better Life?</w:t>
            </w:r>
          </w:p>
        </w:tc>
      </w:tr>
      <w:tr w:rsidRPr="006C51D1" w:rsidR="006C51D1" w:rsidTr="00183858" w14:paraId="3E3C7888" w14:textId="77777777">
        <w:tc>
          <w:tcPr>
            <w:tcW w:w="2695" w:type="dxa"/>
            <w:shd w:val="clear" w:color="auto" w:fill="auto"/>
          </w:tcPr>
          <w:p w:rsidRPr="006C51D1" w:rsidR="006C51D1" w:rsidP="00183858" w:rsidRDefault="006C51D1" w14:paraId="17B36022" w14:textId="77777777">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rsidR="006C51D1" w:rsidP="00183858" w:rsidRDefault="006C51D1" w14:paraId="7D611768" w14:textId="77777777">
            <w:pPr>
              <w:rPr>
                <w:rFonts w:eastAsia="Times New Roman" w:cstheme="minorHAnsi"/>
                <w:b/>
                <w:szCs w:val="24"/>
              </w:rPr>
            </w:pPr>
          </w:p>
          <w:p w:rsidRPr="006C51D1" w:rsidR="00DC47EC" w:rsidP="00183858" w:rsidRDefault="00DC47EC" w14:paraId="577BAA2E" w14:textId="0D3D227F">
            <w:pPr>
              <w:rPr>
                <w:rFonts w:eastAsia="Times New Roman" w:cstheme="minorHAnsi"/>
                <w:b/>
                <w:szCs w:val="24"/>
              </w:rPr>
            </w:pPr>
          </w:p>
        </w:tc>
      </w:tr>
    </w:tbl>
    <w:p w:rsidRPr="002F4282" w:rsidR="006C51D1" w:rsidP="006C51D1" w:rsidRDefault="00FD6AC1" w14:paraId="71025247" w14:textId="61FA3C89">
      <w:pPr>
        <w:pStyle w:val="NoSpacing"/>
        <w:rPr>
          <w:rFonts w:eastAsia="Times New Roman" w:asciiTheme="minorHAnsi" w:hAnsiTheme="minorHAnsi" w:cstheme="minorHAnsi"/>
          <w:sz w:val="22"/>
          <w:lang w:val="en"/>
        </w:rPr>
      </w:pPr>
      <w:r w:rsidRPr="006C51D1">
        <w:rPr>
          <w:rFonts w:asciiTheme="minorHAnsi" w:hAnsiTheme="minorHAnsi" w:cstheme="minorHAnsi"/>
          <w:noProof/>
        </w:rPr>
        <w:drawing>
          <wp:anchor distT="0" distB="0" distL="114300" distR="114300" simplePos="0" relativeHeight="251666432" behindDoc="0" locked="0" layoutInCell="1" allowOverlap="1" wp14:anchorId="1C245395" wp14:editId="2F911199">
            <wp:simplePos x="0" y="0"/>
            <wp:positionH relativeFrom="margin">
              <wp:posOffset>4036695</wp:posOffset>
            </wp:positionH>
            <wp:positionV relativeFrom="paragraph">
              <wp:posOffset>50800</wp:posOffset>
            </wp:positionV>
            <wp:extent cx="2251710" cy="8064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16250" t="18765" r="11944" b="45926"/>
                    <a:stretch/>
                  </pic:blipFill>
                  <pic:spPr bwMode="auto">
                    <a:xfrm>
                      <a:off x="0" y="0"/>
                      <a:ext cx="2251710" cy="806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F4282" w:rsidR="006C51D1">
        <w:rPr>
          <w:rFonts w:asciiTheme="minorHAnsi" w:hAnsiTheme="minorHAnsi" w:cstheme="minorHAnsi"/>
          <w:sz w:val="22"/>
          <w:lang w:val="en"/>
        </w:rPr>
        <w:t xml:space="preserve">A state government agency decides that low-income housing must be built, which will house low-income Blacks and Latinos. The agency fails to look for locations near jobs and important infrastructures, like schools, decent public transportation, and other services. In fact, it is built in a poor, mostly Black and Latino part of town. </w:t>
      </w:r>
    </w:p>
    <w:p w:rsidRPr="002F4282" w:rsidR="006C51D1" w:rsidP="006C51D1" w:rsidRDefault="006C51D1" w14:paraId="011B60AA" w14:textId="77777777">
      <w:pPr>
        <w:pStyle w:val="NoSpacing"/>
        <w:rPr>
          <w:rFonts w:asciiTheme="minorHAnsi" w:hAnsiTheme="minorHAnsi" w:cstheme="minorHAnsi"/>
          <w:sz w:val="22"/>
          <w:lang w:val="en"/>
        </w:rPr>
      </w:pPr>
    </w:p>
    <w:p w:rsidRPr="002F4282" w:rsidR="006C51D1" w:rsidP="006C51D1" w:rsidRDefault="006C51D1" w14:paraId="1257F868" w14:textId="77777777">
      <w:pPr>
        <w:pStyle w:val="NoSpacing"/>
        <w:rPr>
          <w:rFonts w:asciiTheme="minorHAnsi" w:hAnsiTheme="minorHAnsi" w:cstheme="minorHAnsi"/>
          <w:sz w:val="22"/>
          <w:lang w:val="en"/>
        </w:rPr>
      </w:pPr>
      <w:r w:rsidRPr="002F4282">
        <w:rPr>
          <w:rFonts w:asciiTheme="minorHAnsi" w:hAnsiTheme="minorHAnsi" w:cstheme="minorHAnsi"/>
          <w:sz w:val="22"/>
          <w:lang w:val="en"/>
        </w:rPr>
        <w:t>Often times the government locates the housing where it will have the least opposition. White neighborhoods tend to oppose public and affordable housing. Resources, whether public or private, often follow whites who flee urban problems for white suburbs</w:t>
      </w:r>
    </w:p>
    <w:p w:rsidRPr="002F4282" w:rsidR="006C51D1" w:rsidP="006C51D1" w:rsidRDefault="006C51D1" w14:paraId="53E16C6C" w14:textId="77777777">
      <w:pPr>
        <w:pStyle w:val="NoSpacing"/>
        <w:rPr>
          <w:rFonts w:asciiTheme="minorHAnsi" w:hAnsiTheme="minorHAnsi" w:cstheme="minorHAnsi"/>
          <w:sz w:val="22"/>
          <w:lang w:val="en"/>
        </w:rPr>
      </w:pPr>
      <w:r w:rsidRPr="002F4282">
        <w:rPr>
          <w:rFonts w:asciiTheme="minorHAnsi" w:hAnsiTheme="minorHAnsi" w:cstheme="minorHAnsi"/>
          <w:sz w:val="22"/>
          <w:lang w:val="en"/>
        </w:rPr>
        <w:t xml:space="preserve">When the housing is built, the school district, already under-funded, has new residents too poor to contribute to its tax base. The local government spends its limited resources on transportation to connect largely white, well-to-do suburban commuters to their downtown jobs. </w:t>
      </w:r>
    </w:p>
    <w:p w:rsidRPr="002F4282" w:rsidR="006C51D1" w:rsidP="006C51D1" w:rsidRDefault="006C51D1" w14:paraId="0A094AE2" w14:textId="77777777">
      <w:pPr>
        <w:pStyle w:val="NoSpacing"/>
        <w:rPr>
          <w:rFonts w:asciiTheme="minorHAnsi" w:hAnsiTheme="minorHAnsi" w:cstheme="minorHAnsi"/>
          <w:sz w:val="22"/>
          <w:lang w:val="en"/>
        </w:rPr>
      </w:pPr>
    </w:p>
    <w:p w:rsidRPr="002F4282" w:rsidR="006C51D1" w:rsidP="006C51D1" w:rsidRDefault="006C51D1" w14:paraId="218A8197" w14:textId="77777777">
      <w:pPr>
        <w:pStyle w:val="NoSpacing"/>
        <w:rPr>
          <w:rFonts w:asciiTheme="minorHAnsi" w:hAnsiTheme="minorHAnsi" w:cstheme="minorHAnsi"/>
          <w:sz w:val="22"/>
          <w:lang w:val="en"/>
        </w:rPr>
      </w:pPr>
      <w:r w:rsidRPr="002F4282">
        <w:rPr>
          <w:rFonts w:asciiTheme="minorHAnsi" w:hAnsiTheme="minorHAnsi" w:cstheme="minorHAnsi"/>
          <w:sz w:val="22"/>
          <w:lang w:val="en"/>
        </w:rPr>
        <w:t>The public housing residents are left isolated, in under-funded schools, with no transportation to job centers. Whole communities of people of color lose opportunities for a good education, quality housing, living wage jobs, services and support-systems.</w:t>
      </w:r>
    </w:p>
    <w:p w:rsidRPr="002F4282" w:rsidR="006C51D1" w:rsidP="006C51D1" w:rsidRDefault="006C51D1" w14:paraId="599A4E41" w14:textId="77777777">
      <w:pPr>
        <w:pStyle w:val="NoSpacing"/>
        <w:rPr>
          <w:rFonts w:eastAsia="Times New Roman" w:asciiTheme="minorHAnsi" w:hAnsiTheme="minorHAnsi" w:cstheme="minorHAnsi"/>
          <w:sz w:val="22"/>
          <w:lang w:val="en"/>
        </w:rPr>
      </w:pPr>
    </w:p>
    <w:p w:rsidR="006C51D1" w:rsidP="007C6458" w:rsidRDefault="006C51D1" w14:paraId="2669A52B" w14:textId="065D1171">
      <w:pPr>
        <w:pStyle w:val="NoSpacing"/>
        <w:rPr>
          <w:rFonts w:eastAsia="Times New Roman" w:asciiTheme="minorHAnsi" w:hAnsiTheme="minorHAnsi" w:cstheme="minorHAnsi"/>
          <w:sz w:val="22"/>
          <w:lang w:val="en"/>
        </w:rPr>
      </w:pPr>
      <w:r w:rsidRPr="002F4282">
        <w:rPr>
          <w:rFonts w:eastAsia="Times New Roman" w:asciiTheme="minorHAnsi" w:hAnsiTheme="minorHAnsi" w:cstheme="minorHAnsi"/>
          <w:sz w:val="22"/>
          <w:lang w:val="en"/>
        </w:rPr>
        <w:t xml:space="preserve">In this town, no one individual stands in front of the doorway to a better life and says, “No Blacks/Latinos/ Native Americans/Asians allowed.” Race, however, is the unspoken motivator behind a series of actions which lead to decisions about where to place the walls. </w:t>
      </w:r>
    </w:p>
    <w:p w:rsidR="007C6458" w:rsidP="007C6458" w:rsidRDefault="007C6458" w14:paraId="5CDF4F47" w14:textId="77777777">
      <w:pPr>
        <w:pStyle w:val="NoSpacing"/>
        <w:rPr>
          <w:rFonts w:asciiTheme="minorHAnsi" w:hAnsiTheme="minorHAnsi" w:cstheme="minorHAnsi"/>
          <w:sz w:val="22"/>
        </w:rPr>
      </w:pPr>
    </w:p>
    <w:p w:rsidRPr="007C6458" w:rsidR="007C6458" w:rsidP="007C6458" w:rsidRDefault="007C6458" w14:paraId="2CF1588C" w14:textId="57F13DDE">
      <w:pPr>
        <w:pStyle w:val="NoSpacing"/>
        <w:rPr>
          <w:rFonts w:asciiTheme="minorHAnsi" w:hAnsiTheme="minorHAnsi" w:cstheme="minorHAnsi"/>
          <w:b/>
          <w:sz w:val="22"/>
        </w:rPr>
      </w:pPr>
      <w:r w:rsidRPr="007C6458">
        <w:rPr>
          <w:rFonts w:asciiTheme="minorHAnsi" w:hAnsiTheme="minorHAnsi" w:cstheme="minorHAnsi"/>
          <w:b/>
          <w:sz w:val="22"/>
        </w:rPr>
        <w:t xml:space="preserve">Reflections: </w:t>
      </w:r>
    </w:p>
    <w:sectPr w:rsidRPr="007C6458" w:rsidR="007C6458" w:rsidSect="00FD6AC1">
      <w:pgSz w:w="12240" w:h="15840" w:orient="portrait"/>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40347A"/>
    <w:multiLevelType w:val="hybridMultilevel"/>
    <w:tmpl w:val="C130D2B4"/>
    <w:lvl w:ilvl="0" w:tplc="DBD87F72">
      <w:start w:val="1"/>
      <w:numFmt w:val="bullet"/>
      <w:lvlText w:val=""/>
      <w:lvlJc w:val="left"/>
      <w:pPr>
        <w:ind w:left="720" w:hanging="360"/>
      </w:pPr>
      <w:rPr>
        <w:rFonts w:hint="default" w:ascii="Wingdings" w:hAnsi="Wingdings"/>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A7761A0"/>
    <w:multiLevelType w:val="hybridMultilevel"/>
    <w:tmpl w:val="1BC26368"/>
    <w:lvl w:ilvl="0" w:tplc="DBD87F72">
      <w:start w:val="1"/>
      <w:numFmt w:val="bullet"/>
      <w:lvlText w:val=""/>
      <w:lvlJc w:val="left"/>
      <w:pPr>
        <w:ind w:left="720" w:hanging="360"/>
      </w:pPr>
      <w:rPr>
        <w:rFonts w:hint="default" w:ascii="Wingdings" w:hAnsi="Wingdings"/>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9135C8C"/>
    <w:multiLevelType w:val="hybridMultilevel"/>
    <w:tmpl w:val="65C6F5B6"/>
    <w:lvl w:ilvl="0" w:tplc="DBD87F72">
      <w:start w:val="1"/>
      <w:numFmt w:val="bullet"/>
      <w:lvlText w:val=""/>
      <w:lvlJc w:val="left"/>
      <w:pPr>
        <w:tabs>
          <w:tab w:val="num" w:pos="360"/>
        </w:tabs>
        <w:ind w:left="360" w:hanging="360"/>
      </w:pPr>
      <w:rPr>
        <w:rFonts w:hint="default" w:ascii="Wingdings" w:hAnsi="Wingdings"/>
        <w:color w:val="auto"/>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441"/>
    <w:rsid w:val="002F4282"/>
    <w:rsid w:val="003E6441"/>
    <w:rsid w:val="006C51D1"/>
    <w:rsid w:val="006E54B4"/>
    <w:rsid w:val="007C6458"/>
    <w:rsid w:val="00DC47EC"/>
    <w:rsid w:val="00EA1AA8"/>
    <w:rsid w:val="00EF70BD"/>
    <w:rsid w:val="00FD6AC1"/>
    <w:rsid w:val="1CF67D69"/>
    <w:rsid w:val="7F833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FC9D0"/>
  <w15:chartTrackingRefBased/>
  <w15:docId w15:val="{D2A6946E-A1FF-4B04-AAA1-C2D4D0468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E64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6C51D1"/>
    <w:pPr>
      <w:spacing w:after="0" w:line="240" w:lineRule="auto"/>
    </w:pPr>
    <w:rPr>
      <w:rFonts w:ascii="Cambria" w:hAnsi="Cambria"/>
      <w:sz w:val="24"/>
    </w:rPr>
  </w:style>
  <w:style w:type="character" w:styleId="Hyperlink">
    <w:name w:val="Hyperlink"/>
    <w:basedOn w:val="DefaultParagraphFont"/>
    <w:uiPriority w:val="99"/>
    <w:unhideWhenUsed/>
    <w:rsid w:val="006C51D1"/>
    <w:rPr>
      <w:color w:val="0000FF"/>
      <w:u w:val="single"/>
    </w:rPr>
  </w:style>
  <w:style w:type="paragraph" w:styleId="NormalWeb">
    <w:name w:val="Normal (Web)"/>
    <w:basedOn w:val="Normal"/>
    <w:uiPriority w:val="99"/>
    <w:unhideWhenUsed/>
    <w:rsid w:val="006C51D1"/>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6C51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uspensionstories.com/wp-content/uploads/2010/10/School-to-Prison-Illustration.jpg" TargetMode="External"/><Relationship Id="rId18" Type="http://schemas.openxmlformats.org/officeDocument/2006/relationships/theme" Target="theme/theme1.xml"/><Relationship Id="rId3" Type="http://schemas.openxmlformats.org/officeDocument/2006/relationships/settings" Target="settings.xml"/><Relationship Id="R58a55fa5dbc4498f" Type="http://schemas.openxmlformats.org/officeDocument/2006/relationships/hyperlink" Target="https://www.thetaskforce.org/new-report-reveals-rampant-discrimination-against-transgender-people-by-health-providers-high-hiv-rates-and-widespread-lack-of-access-to-necessary-care-2/" TargetMode="External"/><Relationship Id="rId21" Type="http://schemas.openxmlformats.org/officeDocument/2006/relationships/customXml" Target="../customXml/item3.xml"/><Relationship Id="rId12" Type="http://schemas.openxmlformats.org/officeDocument/2006/relationships/hyperlink" Target="http://bit.ly/2wkX70X" TargetMode="External"/><Relationship Id="rId17" Type="http://schemas.openxmlformats.org/officeDocument/2006/relationships/fontTable" Target="fontTable.xml"/><Relationship Id="Re7fdbaeb20244838" Type="http://schemas.openxmlformats.org/officeDocument/2006/relationships/hyperlink" Target="https://www.cnbc.com/2022/06/28/30percent-of-lgbtq-adults-experienced-discrimination-in-financial-services.html" TargetMode="External"/><Relationship Id="R0bc9f6a15dbd4f7e" Type="http://schemas.openxmlformats.org/officeDocument/2006/relationships/image" Target="/media/image7.png"/><Relationship Id="Rad15ef914a654eb4"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customXml" Target="../customXml/item2.xml"/><Relationship Id="rId1" Type="http://schemas.openxmlformats.org/officeDocument/2006/relationships/numbering" Target="numbering.xml"/><Relationship Id="rId11" Type="http://schemas.openxmlformats.org/officeDocument/2006/relationships/image" Target="media/image5.png"/><Relationship Id="Re1e810d2b5e94751" Type="http://schemas.openxmlformats.org/officeDocument/2006/relationships/image" Target="/media/image6.png"/><Relationship Id="Rea84892e315140ac" Type="http://schemas.openxmlformats.org/officeDocument/2006/relationships/hyperlink" Target="https://www.washingtonpost.com/education/2022/03/30/transgender-discrimination-title-ix-rule-students/" TargetMode="External"/><Relationship Id="rId15" Type="http://schemas.openxmlformats.org/officeDocument/2006/relationships/image" Target="media/image7.jpeg"/><Relationship Id="rId10" Type="http://schemas.openxmlformats.org/officeDocument/2006/relationships/hyperlink" Target="https://www.google.com/url?sa=i&amp;rct=j&amp;q=&amp;esrc=s&amp;source=images&amp;cd=&amp;cad=rja&amp;uact=8&amp;ved=0ahUKEwit0pan28bWAhXFhFQKHULsCSkQjRwIBw&amp;url=https://www.vibe.com/2017/09/attempted-lynching-of-biracial-child-labeled-a-hate-crime/&amp;psig=AFQjCNFExjuZW0-BlLbklKvPPDMlT4xcJA&amp;ust=1506647966562664" TargetMode="External"/><Relationship Id="Rc20c4803aeac4da4" Type="http://schemas.openxmlformats.org/officeDocument/2006/relationships/hyperlink" Target="https://www.nydailynews.com/sports/more-sports/ny-fina-world-swimming-bans-transgender-athletes-elite-women-lia-thomas-20220619-hxjhhrmwaffapibcp3lnogy2hm-story.html" TargetMode="External"/><Relationship Id="rId19" Type="http://schemas.openxmlformats.org/officeDocument/2006/relationships/customXml" Target="../customXml/item1.xml"/><Relationship Id="rId4" Type="http://schemas.openxmlformats.org/officeDocument/2006/relationships/webSettings" Target="webSettings.xml"/><Relationship Id="rId14" Type="http://schemas.openxmlformats.org/officeDocument/2006/relationships/image" Target="media/image6.jpeg"/><Relationship Id="R46fb2c25c63345d5"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74B3B0EE-FCAA-4787-9590-38F305580A60}"/>
</file>

<file path=customXml/itemProps2.xml><?xml version="1.0" encoding="utf-8"?>
<ds:datastoreItem xmlns:ds="http://schemas.openxmlformats.org/officeDocument/2006/customXml" ds:itemID="{C587AE3E-F81A-4E88-AE65-574EA6CC1018}"/>
</file>

<file path=customXml/itemProps3.xml><?xml version="1.0" encoding="utf-8"?>
<ds:datastoreItem xmlns:ds="http://schemas.openxmlformats.org/officeDocument/2006/customXml" ds:itemID="{60733D43-B787-4AB5-A2B7-299ACC7C0D1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Guest User</cp:lastModifiedBy>
  <cp:revision>9</cp:revision>
  <dcterms:created xsi:type="dcterms:W3CDTF">2018-09-12T20:08:00Z</dcterms:created>
  <dcterms:modified xsi:type="dcterms:W3CDTF">2022-07-19T21:47:33Z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