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8DDDE" w14:textId="5A7A1155" w:rsidR="00523CCE" w:rsidRPr="00523CCE" w:rsidRDefault="00523CCE" w:rsidP="00523CCE">
      <w:pPr>
        <w:spacing w:after="0" w:line="240" w:lineRule="auto"/>
        <w:rPr>
          <w:rFonts w:ascii="Calibri" w:eastAsia="Times New Roman" w:hAnsi="Calibri" w:cs="Calibri"/>
          <w:kern w:val="0"/>
          <w14:ligatures w14:val="none"/>
        </w:rPr>
      </w:pPr>
      <w:bookmarkStart w:id="0" w:name="_GoBack"/>
      <w:bookmarkEnd w:id="0"/>
      <w:r w:rsidRPr="00523CCE">
        <w:rPr>
          <w:rFonts w:ascii="Calibri" w:eastAsia="Times New Roman" w:hAnsi="Calibri" w:cs="Calibri"/>
          <w:color w:val="000000"/>
          <w:kern w:val="0"/>
          <w:sz w:val="22"/>
          <w:szCs w:val="22"/>
          <w14:ligatures w14:val="none"/>
        </w:rPr>
        <w:t>Read the following contract/policy provisions. Based on our understanding of gender identity, who may be excluded by these provisions? How would you revise these provisions to make them more inclusive?</w:t>
      </w:r>
    </w:p>
    <w:p w14:paraId="6AD4909F"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77BD1114"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1:</w:t>
      </w:r>
    </w:p>
    <w:p w14:paraId="2B452D12"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17DEC84F" w14:textId="5E8A4B02"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B.  Temporary Leaves of Absence</w:t>
      </w:r>
    </w:p>
    <w:p w14:paraId="58B73E16" w14:textId="77777777"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All employees covered by the Agreement who are steadily employed by the Board of Education shall be entitled to the following non-accumulative leaves of absence with pay during each school year.</w:t>
      </w:r>
    </w:p>
    <w:p w14:paraId="0C04EFD3" w14:textId="17F7D0E8"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1.     </w:t>
      </w:r>
      <w:r w:rsidRPr="00523CCE">
        <w:rPr>
          <w:rFonts w:ascii="Times New Roman" w:eastAsia="Times New Roman" w:hAnsi="Times New Roman" w:cs="Times New Roman"/>
          <w:i/>
          <w:iCs/>
          <w:color w:val="000000"/>
          <w:kern w:val="0"/>
          <w:sz w:val="22"/>
          <w:szCs w:val="22"/>
          <w14:ligatures w14:val="none"/>
        </w:rPr>
        <w:tab/>
        <w:t>In the event of a death in the immediate family which occurs between September 1 and June 15th an allowance up to five (5) days leave shall be granted. Such leave must be used within thirty (30) days of the death. The Superintendent shall have the discretion to extend these periods where he deems it appropriate. "Immediate family" shall be husband, wife, child, stepchild, father, mother, brother, sister, parents-in-law, or any members of the employee's immediate household.</w:t>
      </w:r>
    </w:p>
    <w:p w14:paraId="34712EB8"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2:</w:t>
      </w:r>
    </w:p>
    <w:p w14:paraId="751A241A"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06E802CB" w14:textId="06D55163"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C.  All teachers shall receive coverage including spouse and dependent coverage as provided by the applicable plan.</w:t>
      </w:r>
    </w:p>
    <w:p w14:paraId="0DBFD747" w14:textId="41E7A4B4"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1.  A teacher may elect to forego the above coverage. In such event, the teacher shall receive the following:</w:t>
      </w:r>
    </w:p>
    <w:p w14:paraId="13B274BF"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a.     </w:t>
      </w:r>
      <w:r w:rsidRPr="00523CCE">
        <w:rPr>
          <w:rFonts w:ascii="Times New Roman" w:eastAsia="Times New Roman" w:hAnsi="Times New Roman" w:cs="Times New Roman"/>
          <w:i/>
          <w:iCs/>
          <w:color w:val="000000"/>
          <w:kern w:val="0"/>
          <w:sz w:val="22"/>
          <w:szCs w:val="22"/>
          <w14:ligatures w14:val="none"/>
        </w:rPr>
        <w:tab/>
        <w:t xml:space="preserve">Family to no coverage                                  </w:t>
      </w:r>
      <w:r w:rsidRPr="00523CCE">
        <w:rPr>
          <w:rFonts w:ascii="Times New Roman" w:eastAsia="Times New Roman" w:hAnsi="Times New Roman" w:cs="Times New Roman"/>
          <w:i/>
          <w:iCs/>
          <w:color w:val="000000"/>
          <w:kern w:val="0"/>
          <w:sz w:val="22"/>
          <w:szCs w:val="22"/>
          <w14:ligatures w14:val="none"/>
        </w:rPr>
        <w:tab/>
        <w:t>$2,300.00 per year</w:t>
      </w:r>
    </w:p>
    <w:p w14:paraId="40356E79"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b.     </w:t>
      </w:r>
      <w:r w:rsidRPr="00523CCE">
        <w:rPr>
          <w:rFonts w:ascii="Times New Roman" w:eastAsia="Times New Roman" w:hAnsi="Times New Roman" w:cs="Times New Roman"/>
          <w:i/>
          <w:iCs/>
          <w:color w:val="000000"/>
          <w:kern w:val="0"/>
          <w:sz w:val="22"/>
          <w:szCs w:val="22"/>
          <w14:ligatures w14:val="none"/>
        </w:rPr>
        <w:tab/>
        <w:t xml:space="preserve">Family to Single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$1,300.00 per year</w:t>
      </w:r>
    </w:p>
    <w:p w14:paraId="5CDBDC71"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c.     </w:t>
      </w:r>
      <w:r w:rsidRPr="00523CCE">
        <w:rPr>
          <w:rFonts w:ascii="Times New Roman" w:eastAsia="Times New Roman" w:hAnsi="Times New Roman" w:cs="Times New Roman"/>
          <w:i/>
          <w:iCs/>
          <w:color w:val="000000"/>
          <w:kern w:val="0"/>
          <w:sz w:val="22"/>
          <w:szCs w:val="22"/>
          <w14:ligatures w14:val="none"/>
        </w:rPr>
        <w:tab/>
        <w:t xml:space="preserve">Family to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$800.00 per year</w:t>
      </w:r>
    </w:p>
    <w:p w14:paraId="79A4B5A3"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d.     </w:t>
      </w:r>
      <w:r w:rsidRPr="00523CCE">
        <w:rPr>
          <w:rFonts w:ascii="Times New Roman" w:eastAsia="Times New Roman" w:hAnsi="Times New Roman" w:cs="Times New Roman"/>
          <w:i/>
          <w:iCs/>
          <w:color w:val="000000"/>
          <w:kern w:val="0"/>
          <w:sz w:val="22"/>
          <w:szCs w:val="22"/>
          <w14:ligatures w14:val="none"/>
        </w:rPr>
        <w:tab/>
        <w:t xml:space="preserve">Family to Parent/Child coverage                     </w:t>
      </w:r>
      <w:r w:rsidRPr="00523CCE">
        <w:rPr>
          <w:rFonts w:ascii="Times New Roman" w:eastAsia="Times New Roman" w:hAnsi="Times New Roman" w:cs="Times New Roman"/>
          <w:i/>
          <w:iCs/>
          <w:color w:val="000000"/>
          <w:kern w:val="0"/>
          <w:sz w:val="22"/>
          <w:szCs w:val="22"/>
          <w14:ligatures w14:val="none"/>
        </w:rPr>
        <w:tab/>
        <w:t>$800.00 per year</w:t>
      </w:r>
    </w:p>
    <w:p w14:paraId="3ED91F35"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e.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to no coverage                       </w:t>
      </w:r>
      <w:r w:rsidRPr="00523CCE">
        <w:rPr>
          <w:rFonts w:ascii="Times New Roman" w:eastAsia="Times New Roman" w:hAnsi="Times New Roman" w:cs="Times New Roman"/>
          <w:i/>
          <w:iCs/>
          <w:color w:val="000000"/>
          <w:kern w:val="0"/>
          <w:sz w:val="22"/>
          <w:szCs w:val="22"/>
          <w14:ligatures w14:val="none"/>
        </w:rPr>
        <w:tab/>
        <w:t>$1,800.00 per year</w:t>
      </w:r>
    </w:p>
    <w:p w14:paraId="2A8F0ACC"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f.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to Single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$800.00 per year</w:t>
      </w:r>
    </w:p>
    <w:p w14:paraId="4C9E0615"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g.     </w:t>
      </w:r>
      <w:r w:rsidRPr="00523CCE">
        <w:rPr>
          <w:rFonts w:ascii="Times New Roman" w:eastAsia="Times New Roman" w:hAnsi="Times New Roman" w:cs="Times New Roman"/>
          <w:i/>
          <w:iCs/>
          <w:color w:val="000000"/>
          <w:kern w:val="0"/>
          <w:sz w:val="22"/>
          <w:szCs w:val="22"/>
          <w14:ligatures w14:val="none"/>
        </w:rPr>
        <w:tab/>
        <w:t xml:space="preserve">Parent/Child to no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$1,800.00 per year</w:t>
      </w:r>
    </w:p>
    <w:p w14:paraId="655C2287" w14:textId="77777777" w:rsidR="00523CCE" w:rsidRPr="00523CCE" w:rsidRDefault="00523CCE" w:rsidP="00523CCE">
      <w:pPr>
        <w:spacing w:after="200" w:line="240" w:lineRule="auto"/>
        <w:ind w:left="1440" w:firstLine="2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h.     </w:t>
      </w:r>
      <w:r w:rsidRPr="00523CCE">
        <w:rPr>
          <w:rFonts w:ascii="Times New Roman" w:eastAsia="Times New Roman" w:hAnsi="Times New Roman" w:cs="Times New Roman"/>
          <w:i/>
          <w:iCs/>
          <w:color w:val="000000"/>
          <w:kern w:val="0"/>
          <w:sz w:val="22"/>
          <w:szCs w:val="22"/>
          <w14:ligatures w14:val="none"/>
        </w:rPr>
        <w:tab/>
        <w:t xml:space="preserve">Parent/Child to Single coverage                     </w:t>
      </w:r>
      <w:r w:rsidRPr="00523CCE">
        <w:rPr>
          <w:rFonts w:ascii="Times New Roman" w:eastAsia="Times New Roman" w:hAnsi="Times New Roman" w:cs="Times New Roman"/>
          <w:i/>
          <w:iCs/>
          <w:color w:val="000000"/>
          <w:kern w:val="0"/>
          <w:sz w:val="22"/>
          <w:szCs w:val="22"/>
          <w14:ligatures w14:val="none"/>
        </w:rPr>
        <w:tab/>
        <w:t>$800.00 per year</w:t>
      </w:r>
    </w:p>
    <w:p w14:paraId="1AA57926" w14:textId="77777777" w:rsidR="00523CCE" w:rsidRPr="00523CCE" w:rsidRDefault="00523CCE" w:rsidP="00523CCE">
      <w:pPr>
        <w:spacing w:after="200" w:line="240" w:lineRule="auto"/>
        <w:ind w:left="1440" w:firstLine="2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i.      </w:t>
      </w:r>
      <w:r w:rsidRPr="00523CCE">
        <w:rPr>
          <w:rFonts w:ascii="Times New Roman" w:eastAsia="Times New Roman" w:hAnsi="Times New Roman" w:cs="Times New Roman"/>
          <w:i/>
          <w:iCs/>
          <w:color w:val="000000"/>
          <w:kern w:val="0"/>
          <w:sz w:val="22"/>
          <w:szCs w:val="22"/>
          <w14:ligatures w14:val="none"/>
        </w:rPr>
        <w:tab/>
        <w:t xml:space="preserve">Single coverage to no coverage                     </w:t>
      </w:r>
      <w:r w:rsidRPr="00523CCE">
        <w:rPr>
          <w:rFonts w:ascii="Times New Roman" w:eastAsia="Times New Roman" w:hAnsi="Times New Roman" w:cs="Times New Roman"/>
          <w:i/>
          <w:iCs/>
          <w:color w:val="000000"/>
          <w:kern w:val="0"/>
          <w:sz w:val="22"/>
          <w:szCs w:val="22"/>
          <w14:ligatures w14:val="none"/>
        </w:rPr>
        <w:tab/>
        <w:t>$1,300.00 per year</w:t>
      </w:r>
    </w:p>
    <w:p w14:paraId="041A08F7" w14:textId="77777777" w:rsidR="00523CCE" w:rsidRDefault="00523CCE" w:rsidP="00523CCE">
      <w:pPr>
        <w:spacing w:after="0" w:line="240" w:lineRule="auto"/>
        <w:rPr>
          <w:rFonts w:ascii="Arial" w:eastAsia="Times New Roman" w:hAnsi="Arial" w:cs="Arial"/>
          <w:b/>
          <w:bCs/>
          <w:color w:val="000000"/>
          <w:kern w:val="0"/>
          <w:sz w:val="22"/>
          <w:szCs w:val="22"/>
          <w14:ligatures w14:val="none"/>
        </w:rPr>
      </w:pPr>
    </w:p>
    <w:p w14:paraId="5925740E" w14:textId="62C3BE72"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3:</w:t>
      </w:r>
    </w:p>
    <w:p w14:paraId="0CE22158"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5A25E1CB" w14:textId="77777777" w:rsidR="00523CCE" w:rsidRPr="00523CCE" w:rsidRDefault="00523CCE" w:rsidP="00523CCE">
      <w:pPr>
        <w:spacing w:after="0" w:line="240" w:lineRule="auto"/>
        <w:jc w:val="both"/>
        <w:rPr>
          <w:rFonts w:ascii="Times New Roman" w:eastAsia="Times New Roman" w:hAnsi="Times New Roman" w:cs="Times New Roman"/>
          <w:kern w:val="0"/>
          <w14:ligatures w14:val="none"/>
        </w:rPr>
      </w:pPr>
      <w:r w:rsidRPr="00523CCE">
        <w:rPr>
          <w:rFonts w:ascii="Times New Roman" w:eastAsia="Times New Roman" w:hAnsi="Times New Roman" w:cs="Times New Roman"/>
          <w:b/>
          <w:bCs/>
          <w:i/>
          <w:iCs/>
          <w:color w:val="000000"/>
          <w:kern w:val="0"/>
          <w:u w:val="single"/>
          <w14:ligatures w14:val="none"/>
        </w:rPr>
        <w:t>Section P. Coed Activities</w:t>
      </w:r>
    </w:p>
    <w:p w14:paraId="7A5404C1" w14:textId="77777777" w:rsidR="00523CCE" w:rsidRPr="00523CCE" w:rsidRDefault="00523CCE" w:rsidP="00523CCE">
      <w:pPr>
        <w:spacing w:after="0" w:line="240" w:lineRule="auto"/>
        <w:ind w:left="360"/>
        <w:jc w:val="both"/>
        <w:rPr>
          <w:rFonts w:ascii="Times New Roman" w:eastAsia="Times New Roman" w:hAnsi="Times New Roman" w:cs="Times New Roman"/>
          <w:kern w:val="0"/>
          <w14:ligatures w14:val="none"/>
        </w:rPr>
      </w:pPr>
      <w:r w:rsidRPr="00523CCE">
        <w:rPr>
          <w:rFonts w:ascii="Times New Roman" w:eastAsia="Times New Roman" w:hAnsi="Times New Roman" w:cs="Times New Roman"/>
          <w:color w:val="000000"/>
          <w:kern w:val="0"/>
          <w14:ligatures w14:val="none"/>
        </w:rPr>
        <w:t> </w:t>
      </w:r>
    </w:p>
    <w:p w14:paraId="0447626B" w14:textId="4369A38D" w:rsidR="00523CCE" w:rsidRPr="00523CCE" w:rsidRDefault="00523CCE" w:rsidP="00523CCE">
      <w:pPr>
        <w:spacing w:after="0" w:line="240" w:lineRule="auto"/>
        <w:jc w:val="both"/>
        <w:rPr>
          <w:rFonts w:ascii="Times New Roman" w:eastAsia="Times New Roman" w:hAnsi="Times New Roman" w:cs="Times New Roman"/>
          <w:kern w:val="0"/>
          <w:sz w:val="22"/>
          <w:szCs w:val="22"/>
          <w14:ligatures w14:val="none"/>
        </w:rPr>
      </w:pPr>
      <w:r w:rsidRPr="00523CCE">
        <w:rPr>
          <w:rFonts w:ascii="Times New Roman" w:eastAsia="Times New Roman" w:hAnsi="Times New Roman" w:cs="Times New Roman"/>
          <w:color w:val="000000"/>
          <w:kern w:val="0"/>
          <w:sz w:val="22"/>
          <w:szCs w:val="22"/>
          <w14:ligatures w14:val="none"/>
        </w:rPr>
        <w:t xml:space="preserve">It is required in cases where students will be using locker rooms or staying </w:t>
      </w:r>
      <w:proofErr w:type="spellStart"/>
      <w:r w:rsidRPr="00523CCE">
        <w:rPr>
          <w:rFonts w:ascii="Times New Roman" w:eastAsia="Times New Roman" w:hAnsi="Times New Roman" w:cs="Times New Roman"/>
          <w:color w:val="000000"/>
          <w:kern w:val="0"/>
          <w:sz w:val="22"/>
          <w:szCs w:val="22"/>
          <w14:ligatures w14:val="none"/>
        </w:rPr>
        <w:t>over night</w:t>
      </w:r>
      <w:proofErr w:type="spellEnd"/>
      <w:r w:rsidRPr="00523CCE">
        <w:rPr>
          <w:rFonts w:ascii="Times New Roman" w:eastAsia="Times New Roman" w:hAnsi="Times New Roman" w:cs="Times New Roman"/>
          <w:color w:val="000000"/>
          <w:kern w:val="0"/>
          <w:sz w:val="22"/>
          <w:szCs w:val="22"/>
          <w14:ligatures w14:val="none"/>
        </w:rPr>
        <w:t xml:space="preserve">, and recommended for all other circumstances, that an adult of each </w:t>
      </w:r>
      <w:r>
        <w:rPr>
          <w:rFonts w:ascii="Times New Roman" w:eastAsia="Times New Roman" w:hAnsi="Times New Roman" w:cs="Times New Roman"/>
          <w:color w:val="000000"/>
          <w:kern w:val="0"/>
          <w:sz w:val="22"/>
          <w:szCs w:val="22"/>
          <w14:ligatures w14:val="none"/>
        </w:rPr>
        <w:t xml:space="preserve">gender </w:t>
      </w:r>
      <w:r w:rsidRPr="00523CCE">
        <w:rPr>
          <w:rFonts w:ascii="Times New Roman" w:eastAsia="Times New Roman" w:hAnsi="Times New Roman" w:cs="Times New Roman"/>
          <w:color w:val="000000"/>
          <w:kern w:val="0"/>
          <w:sz w:val="22"/>
          <w:szCs w:val="22"/>
          <w14:ligatures w14:val="none"/>
        </w:rPr>
        <w:t>must be present to supervise coed junior high and senior high activity groups traveling out of district.  Single g</w:t>
      </w:r>
      <w:r>
        <w:rPr>
          <w:rFonts w:ascii="Times New Roman" w:eastAsia="Times New Roman" w:hAnsi="Times New Roman" w:cs="Times New Roman"/>
          <w:color w:val="000000"/>
          <w:kern w:val="0"/>
          <w:sz w:val="22"/>
          <w:szCs w:val="22"/>
          <w14:ligatures w14:val="none"/>
        </w:rPr>
        <w:t>ender g</w:t>
      </w:r>
      <w:r w:rsidRPr="00523CCE">
        <w:rPr>
          <w:rFonts w:ascii="Times New Roman" w:eastAsia="Times New Roman" w:hAnsi="Times New Roman" w:cs="Times New Roman"/>
          <w:color w:val="000000"/>
          <w:kern w:val="0"/>
          <w:sz w:val="22"/>
          <w:szCs w:val="22"/>
          <w14:ligatures w14:val="none"/>
        </w:rPr>
        <w:t xml:space="preserve">roups must have at least one matching- </w:t>
      </w:r>
      <w:r>
        <w:rPr>
          <w:rFonts w:ascii="Times New Roman" w:eastAsia="Times New Roman" w:hAnsi="Times New Roman" w:cs="Times New Roman"/>
          <w:color w:val="000000"/>
          <w:kern w:val="0"/>
          <w:sz w:val="22"/>
          <w:szCs w:val="22"/>
          <w14:ligatures w14:val="none"/>
        </w:rPr>
        <w:t xml:space="preserve">gender </w:t>
      </w:r>
      <w:r w:rsidRPr="00523CCE">
        <w:rPr>
          <w:rFonts w:ascii="Times New Roman" w:eastAsia="Times New Roman" w:hAnsi="Times New Roman" w:cs="Times New Roman"/>
          <w:color w:val="000000"/>
          <w:kern w:val="0"/>
          <w:sz w:val="22"/>
          <w:szCs w:val="22"/>
          <w14:ligatures w14:val="none"/>
        </w:rPr>
        <w:t>supervisor present.  These adults may be paid coaches/supervisors or volunteers officially designated by the athletic director or building principal.</w:t>
      </w:r>
    </w:p>
    <w:p w14:paraId="4197518D" w14:textId="77777777" w:rsidR="00523CCE" w:rsidRPr="00523CCE" w:rsidRDefault="00523CCE" w:rsidP="00523CCE">
      <w:pPr>
        <w:spacing w:after="0" w:line="240" w:lineRule="auto"/>
        <w:rPr>
          <w:rFonts w:ascii="Times New Roman" w:eastAsia="Times New Roman" w:hAnsi="Times New Roman" w:cs="Times New Roman"/>
          <w:kern w:val="0"/>
          <w:sz w:val="22"/>
          <w:szCs w:val="22"/>
          <w14:ligatures w14:val="none"/>
        </w:rPr>
      </w:pPr>
    </w:p>
    <w:p w14:paraId="65206E47"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lastRenderedPageBreak/>
        <w:t>EXAMPLE 4:</w:t>
      </w:r>
    </w:p>
    <w:p w14:paraId="283394C1" w14:textId="77777777" w:rsidR="00523CCE" w:rsidRPr="00523CCE" w:rsidRDefault="00523CCE" w:rsidP="00523CCE">
      <w:pPr>
        <w:spacing w:before="300" w:after="0" w:line="240" w:lineRule="auto"/>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14:ligatures w14:val="none"/>
        </w:rPr>
        <w:t>X. MATERNITY LEAVE POLICY</w:t>
      </w:r>
    </w:p>
    <w:p w14:paraId="3809C4BE" w14:textId="05C92B18" w:rsidR="00523CCE" w:rsidRPr="00523CCE" w:rsidRDefault="00523CCE" w:rsidP="00523CCE">
      <w:pPr>
        <w:spacing w:before="30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maternity leave policy is hereby established under authority of law and to become effective July 1,</w:t>
      </w:r>
      <w:r>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1976.</w:t>
      </w:r>
      <w:r>
        <w:rPr>
          <w:rFonts w:ascii="Times New Roman" w:eastAsia="Times New Roman" w:hAnsi="Times New Roman" w:cs="Times New Roman"/>
          <w:kern w:val="0"/>
          <w14:ligatures w14:val="none"/>
        </w:rPr>
        <w:t xml:space="preserve"> </w:t>
      </w:r>
      <w:r w:rsidRPr="00523CCE">
        <w:rPr>
          <w:rFonts w:ascii="Calibri" w:eastAsia="Times New Roman" w:hAnsi="Calibri" w:cs="Calibri"/>
          <w:color w:val="000000"/>
          <w:kern w:val="0"/>
          <w:sz w:val="22"/>
          <w:szCs w:val="22"/>
          <w14:ligatures w14:val="none"/>
        </w:rPr>
        <w:t>All female employees who become pregnant or who are otherwise qualified hereunder are hereby granted a maternity leave for a reasonable period of time.</w:t>
      </w:r>
    </w:p>
    <w:p w14:paraId="69CD8762" w14:textId="77777777" w:rsidR="00523CCE" w:rsidRPr="00523CCE" w:rsidRDefault="00523CCE" w:rsidP="00523CCE">
      <w:pPr>
        <w:spacing w:before="280" w:after="0" w:line="240" w:lineRule="auto"/>
        <w:ind w:left="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A.</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ab/>
      </w:r>
      <w:r w:rsidRPr="00523CCE">
        <w:rPr>
          <w:rFonts w:ascii="Calibri" w:eastAsia="Times New Roman" w:hAnsi="Calibri" w:cs="Calibri"/>
          <w:b/>
          <w:bCs/>
          <w:color w:val="000000"/>
          <w:kern w:val="0"/>
          <w:sz w:val="22"/>
          <w:szCs w:val="22"/>
          <w14:ligatures w14:val="none"/>
        </w:rPr>
        <w:t>Period of Leave</w:t>
      </w:r>
    </w:p>
    <w:p w14:paraId="24344FE6" w14:textId="77777777" w:rsidR="00523CCE" w:rsidRDefault="00523CCE" w:rsidP="00523CCE">
      <w:pPr>
        <w:spacing w:before="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pregnant employee who desires a maternity leave of absence shall submit an official written request for such leave to the Executive Director. Such request shall include a certification of pregnancy from the employee's physician and the beginning and ending dates for said leave. The term of leave shall be no longer than one (1) year. A request for maternity leave shall be submitted at least thirty (30) days prior to the beginning of the requested leave.</w:t>
      </w:r>
    </w:p>
    <w:p w14:paraId="79285CDE" w14:textId="77777777" w:rsidR="00523CCE" w:rsidRDefault="00523CCE" w:rsidP="00523CCE">
      <w:pPr>
        <w:spacing w:before="40" w:after="0" w:line="240" w:lineRule="auto"/>
        <w:rPr>
          <w:rFonts w:ascii="Times New Roman" w:eastAsia="Times New Roman" w:hAnsi="Times New Roman" w:cs="Times New Roman"/>
          <w:kern w:val="0"/>
          <w14:ligatures w14:val="none"/>
        </w:rPr>
      </w:pPr>
    </w:p>
    <w:p w14:paraId="18947EA1" w14:textId="05E9E5FA" w:rsidR="00523CCE" w:rsidRPr="00523CCE" w:rsidRDefault="00523CCE" w:rsidP="00523CCE">
      <w:pPr>
        <w:spacing w:before="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Additional leave, not to exceed a maximum of one (1) year may, at the Board's sole discretion, be granted to an employee because the employee is disabled and unable to return to work. Such</w:t>
      </w:r>
    </w:p>
    <w:p w14:paraId="13CAB757" w14:textId="77777777" w:rsidR="00523CCE" w:rsidRPr="00523CCE" w:rsidRDefault="00523CCE" w:rsidP="00523CCE">
      <w:pPr>
        <w:spacing w:before="8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disability must be verified by the employee's physician, including the additional anticipated beginning and ending dates for said additional leave. The Board will not unreasonably deny the request for an additional year for maternity leave.</w:t>
      </w:r>
    </w:p>
    <w:p w14:paraId="62E837B4"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5033D836" w14:textId="77777777" w:rsidR="00523CCE" w:rsidRDefault="00523CCE" w:rsidP="00523CCE">
      <w:pPr>
        <w:spacing w:before="6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Three (3) week notice shall be given by the Professional employee prior to returning to work.</w:t>
      </w:r>
    </w:p>
    <w:p w14:paraId="781C1799" w14:textId="77777777" w:rsidR="00523CCE" w:rsidRDefault="00523CCE" w:rsidP="00523CCE">
      <w:pPr>
        <w:spacing w:before="60" w:after="0" w:line="240" w:lineRule="auto"/>
        <w:rPr>
          <w:rFonts w:ascii="Times New Roman" w:eastAsia="Times New Roman" w:hAnsi="Times New Roman" w:cs="Times New Roman"/>
          <w:kern w:val="0"/>
          <w14:ligatures w14:val="none"/>
        </w:rPr>
      </w:pPr>
    </w:p>
    <w:p w14:paraId="55582AFF" w14:textId="1996C901" w:rsidR="00523CCE" w:rsidRPr="00523CCE" w:rsidRDefault="00523CCE" w:rsidP="00523CCE">
      <w:pPr>
        <w:spacing w:before="60" w:after="0" w:line="240" w:lineRule="auto"/>
        <w:ind w:firstLine="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B.</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ab/>
      </w:r>
      <w:r w:rsidRPr="00523CCE">
        <w:rPr>
          <w:rFonts w:ascii="Calibri" w:eastAsia="Times New Roman" w:hAnsi="Calibri" w:cs="Calibri"/>
          <w:b/>
          <w:bCs/>
          <w:color w:val="000000"/>
          <w:kern w:val="0"/>
          <w:sz w:val="22"/>
          <w:szCs w:val="22"/>
          <w14:ligatures w14:val="none"/>
        </w:rPr>
        <w:t>Eligibility</w:t>
      </w:r>
      <w:r w:rsidRPr="00523CCE">
        <w:rPr>
          <w:rFonts w:ascii="Calibri" w:eastAsia="Times New Roman" w:hAnsi="Calibri" w:cs="Calibri"/>
          <w:b/>
          <w:bCs/>
          <w:color w:val="000000"/>
          <w:kern w:val="0"/>
          <w:sz w:val="22"/>
          <w:szCs w:val="22"/>
          <w14:ligatures w14:val="none"/>
        </w:rPr>
        <w:br/>
      </w:r>
      <w:r w:rsidRPr="00523CCE">
        <w:rPr>
          <w:rFonts w:ascii="Calibri" w:eastAsia="Times New Roman" w:hAnsi="Calibri" w:cs="Calibri"/>
          <w:color w:val="000000"/>
          <w:kern w:val="0"/>
          <w:sz w:val="22"/>
          <w:szCs w:val="22"/>
          <w14:ligatures w14:val="none"/>
        </w:rPr>
        <w:t xml:space="preserve"> Any employee of the school shall be eligible for this leave on the basis of either pregnancy of the natural mother or immediate adoption of a new born infant by the employee.</w:t>
      </w:r>
    </w:p>
    <w:p w14:paraId="32766CFE" w14:textId="77777777" w:rsidR="00523CCE" w:rsidRPr="00523CCE" w:rsidRDefault="00523CCE" w:rsidP="00523CCE">
      <w:pPr>
        <w:spacing w:before="3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male employee will be granted a paternity leave similar to that given a female employee. A request for a paternity (child-rearing) leave shall be submitted at least thirty (30) days prior to the beginning of the requested leave.</w:t>
      </w:r>
    </w:p>
    <w:p w14:paraId="2264AF61" w14:textId="77777777" w:rsidR="00523CCE" w:rsidRDefault="00523CCE" w:rsidP="00523CCE">
      <w:pPr>
        <w:spacing w:before="540" w:after="0" w:line="240" w:lineRule="auto"/>
        <w:ind w:firstLine="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C.</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b/>
          <w:bCs/>
          <w:color w:val="000000"/>
          <w:kern w:val="0"/>
          <w:sz w:val="22"/>
          <w:szCs w:val="22"/>
          <w14:ligatures w14:val="none"/>
        </w:rPr>
        <w:t>Benefits While on Leave</w:t>
      </w:r>
    </w:p>
    <w:p w14:paraId="2A39ECC5" w14:textId="0E77BB9A"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No salary shall be paid said employee, nor shall pension rights accrue during the period of leave. While on maternity leave as herein defined, the employee is entitled to sick leave for disabilities caused or contributed to by pregnancy, miscarriage, abortion, childbirth and recovery therefrom, according to guidelines by the Equal Employment Opportunity Commission. Part 1604.10, issued under the Civil Rights Act of 1964.</w:t>
      </w:r>
    </w:p>
    <w:p w14:paraId="0B3D1E08" w14:textId="77777777" w:rsidR="00523CCE" w:rsidRPr="00523CCE" w:rsidRDefault="00523CCE" w:rsidP="00523CCE">
      <w:pPr>
        <w:spacing w:before="540" w:after="0" w:line="240" w:lineRule="auto"/>
        <w:ind w:left="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D.</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b/>
          <w:bCs/>
          <w:color w:val="000000"/>
          <w:kern w:val="0"/>
          <w:sz w:val="22"/>
          <w:szCs w:val="22"/>
          <w14:ligatures w14:val="none"/>
        </w:rPr>
        <w:t>Return from Maternity Leave</w:t>
      </w:r>
    </w:p>
    <w:p w14:paraId="7BB18524" w14:textId="77777777" w:rsidR="00523CCE" w:rsidRDefault="00523CCE" w:rsidP="00523CCE">
      <w:pPr>
        <w:spacing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Upon application by the employee on such leave to return to employment following such reasonable maternity leave, the Board shall offer her the job she held before going on leave or a substantially equivalent position. To the extent applicable, this regulation shall be administered in a reasonably consistent way with other leaves of absence as provided under the laws of the Commonwealth of Pennsylvania.</w:t>
      </w:r>
    </w:p>
    <w:p w14:paraId="35EEFBBB" w14:textId="224993A2" w:rsidR="00523CCE" w:rsidRPr="00523CCE" w:rsidRDefault="00523CCE" w:rsidP="00523CCE">
      <w:pPr>
        <w:spacing w:after="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lastRenderedPageBreak/>
        <w:t>EXAMPLE 5:</w:t>
      </w:r>
    </w:p>
    <w:p w14:paraId="2C3BF885"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t>Family Illness</w:t>
      </w:r>
    </w:p>
    <w:p w14:paraId="13B9DA04"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Ten (10) personal illness days per year may be used to attend to an immediate family member with a personal illness.  These days shall not be cumulative.  “Immediate family member” shall be defined as father, mother, brother, sister, son, daughter, husband, wife, a near relative who resides in the same household, or any person with whom the employee has made his home or deemed the primary caregiver.</w:t>
      </w:r>
    </w:p>
    <w:p w14:paraId="5BED7ACE"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t>Bereavement Leave</w:t>
      </w:r>
    </w:p>
    <w:p w14:paraId="408D293F"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xml:space="preserve">   Three (3) days of bereavement leave shall be granted for the death of an immediate family member as defined above, as well as parents-in-law, </w:t>
      </w:r>
      <w:r w:rsidRPr="00523CCE">
        <w:rPr>
          <w:rFonts w:ascii="Calibri" w:eastAsia="Times New Roman" w:hAnsi="Calibri" w:cs="Calibri"/>
          <w:strike/>
          <w:color w:val="000000"/>
          <w:kern w:val="0"/>
          <w:sz w:val="22"/>
          <w:szCs w:val="22"/>
          <w14:ligatures w14:val="none"/>
        </w:rPr>
        <w:t>and</w:t>
      </w:r>
      <w:r w:rsidRPr="00523CCE">
        <w:rPr>
          <w:rFonts w:ascii="Calibri" w:eastAsia="Times New Roman" w:hAnsi="Calibri" w:cs="Calibri"/>
          <w:color w:val="000000"/>
          <w:kern w:val="0"/>
          <w:sz w:val="22"/>
          <w:szCs w:val="22"/>
          <w14:ligatures w14:val="none"/>
        </w:rPr>
        <w:t xml:space="preserve"> grandchild and great grandchildren. </w:t>
      </w:r>
    </w:p>
    <w:p w14:paraId="02742BC2"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xml:space="preserve">   One (1) day of bereavement leave shall be granted for the death of a near relative.  “Near relative” shall be defined as first cousin, grandfather, grandmother, aunt, uncle, niece, nephew, son-in-law, daughter-in-law, brother-in-law, </w:t>
      </w:r>
      <w:r w:rsidRPr="00523CCE">
        <w:rPr>
          <w:rFonts w:ascii="Calibri" w:eastAsia="Times New Roman" w:hAnsi="Calibri" w:cs="Calibri"/>
          <w:strike/>
          <w:color w:val="000000"/>
          <w:kern w:val="0"/>
          <w:sz w:val="22"/>
          <w:szCs w:val="22"/>
          <w14:ligatures w14:val="none"/>
        </w:rPr>
        <w:t>or</w:t>
      </w:r>
      <w:r w:rsidRPr="00523CCE">
        <w:rPr>
          <w:rFonts w:ascii="Calibri" w:eastAsia="Times New Roman" w:hAnsi="Calibri" w:cs="Calibri"/>
          <w:color w:val="000000"/>
          <w:kern w:val="0"/>
          <w:sz w:val="22"/>
          <w:szCs w:val="22"/>
          <w14:ligatures w14:val="none"/>
        </w:rPr>
        <w:t xml:space="preserve"> sister-in-law, grandfather-in-law and grandmother-in-law. </w:t>
      </w:r>
    </w:p>
    <w:p w14:paraId="3DBF6B19"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The Superintendent may extend the period of any bereavement leave at his/her discretion.  This benefit shall not be cumulative.</w:t>
      </w:r>
    </w:p>
    <w:p w14:paraId="69C0754E" w14:textId="77777777" w:rsidR="00A73209" w:rsidRDefault="00A73209"/>
    <w:sectPr w:rsidR="00A732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CCE"/>
    <w:rsid w:val="00523CCE"/>
    <w:rsid w:val="00A73209"/>
    <w:rsid w:val="00D77CD7"/>
    <w:rsid w:val="00E77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2235"/>
  <w15:chartTrackingRefBased/>
  <w15:docId w15:val="{596DEC07-5E33-44E8-AD10-160E8AC2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3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CCE"/>
    <w:rPr>
      <w:rFonts w:eastAsiaTheme="majorEastAsia" w:cstheme="majorBidi"/>
      <w:color w:val="272727" w:themeColor="text1" w:themeTint="D8"/>
    </w:rPr>
  </w:style>
  <w:style w:type="paragraph" w:styleId="Title">
    <w:name w:val="Title"/>
    <w:basedOn w:val="Normal"/>
    <w:next w:val="Normal"/>
    <w:link w:val="TitleChar"/>
    <w:uiPriority w:val="10"/>
    <w:qFormat/>
    <w:rsid w:val="00523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CCE"/>
    <w:pPr>
      <w:spacing w:before="160"/>
      <w:jc w:val="center"/>
    </w:pPr>
    <w:rPr>
      <w:i/>
      <w:iCs/>
      <w:color w:val="404040" w:themeColor="text1" w:themeTint="BF"/>
    </w:rPr>
  </w:style>
  <w:style w:type="character" w:customStyle="1" w:styleId="QuoteChar">
    <w:name w:val="Quote Char"/>
    <w:basedOn w:val="DefaultParagraphFont"/>
    <w:link w:val="Quote"/>
    <w:uiPriority w:val="29"/>
    <w:rsid w:val="00523CCE"/>
    <w:rPr>
      <w:i/>
      <w:iCs/>
      <w:color w:val="404040" w:themeColor="text1" w:themeTint="BF"/>
    </w:rPr>
  </w:style>
  <w:style w:type="paragraph" w:styleId="ListParagraph">
    <w:name w:val="List Paragraph"/>
    <w:basedOn w:val="Normal"/>
    <w:uiPriority w:val="34"/>
    <w:qFormat/>
    <w:rsid w:val="00523CCE"/>
    <w:pPr>
      <w:ind w:left="720"/>
      <w:contextualSpacing/>
    </w:pPr>
  </w:style>
  <w:style w:type="character" w:styleId="IntenseEmphasis">
    <w:name w:val="Intense Emphasis"/>
    <w:basedOn w:val="DefaultParagraphFont"/>
    <w:uiPriority w:val="21"/>
    <w:qFormat/>
    <w:rsid w:val="00523CCE"/>
    <w:rPr>
      <w:i/>
      <w:iCs/>
      <w:color w:val="0F4761" w:themeColor="accent1" w:themeShade="BF"/>
    </w:rPr>
  </w:style>
  <w:style w:type="paragraph" w:styleId="IntenseQuote">
    <w:name w:val="Intense Quote"/>
    <w:basedOn w:val="Normal"/>
    <w:next w:val="Normal"/>
    <w:link w:val="IntenseQuoteChar"/>
    <w:uiPriority w:val="30"/>
    <w:qFormat/>
    <w:rsid w:val="00523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CCE"/>
    <w:rPr>
      <w:i/>
      <w:iCs/>
      <w:color w:val="0F4761" w:themeColor="accent1" w:themeShade="BF"/>
    </w:rPr>
  </w:style>
  <w:style w:type="character" w:styleId="IntenseReference">
    <w:name w:val="Intense Reference"/>
    <w:basedOn w:val="DefaultParagraphFont"/>
    <w:uiPriority w:val="32"/>
    <w:qFormat/>
    <w:rsid w:val="00523CCE"/>
    <w:rPr>
      <w:b/>
      <w:bCs/>
      <w:smallCaps/>
      <w:color w:val="0F4761" w:themeColor="accent1" w:themeShade="BF"/>
      <w:spacing w:val="5"/>
    </w:rPr>
  </w:style>
  <w:style w:type="paragraph" w:styleId="NormalWeb">
    <w:name w:val="Normal (Web)"/>
    <w:basedOn w:val="Normal"/>
    <w:uiPriority w:val="99"/>
    <w:semiHidden/>
    <w:unhideWhenUsed/>
    <w:rsid w:val="00523CC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52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2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8879B26-AC82-4080-AE7B-9B4FB923F2DD}">
  <ds:schemaRefs>
    <ds:schemaRef ds:uri="http://schemas.microsoft.com/sharepoint/v3/contenttype/forms"/>
  </ds:schemaRefs>
</ds:datastoreItem>
</file>

<file path=customXml/itemProps2.xml><?xml version="1.0" encoding="utf-8"?>
<ds:datastoreItem xmlns:ds="http://schemas.openxmlformats.org/officeDocument/2006/customXml" ds:itemID="{D73803DD-BE14-43F1-9162-839B702F6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0996BD-DCCC-4486-BE56-B5C239BB1BCA}">
  <ds:schemaRefs>
    <ds:schemaRef ds:uri="5ed5bd0d-9aa5-480d-8c58-25f9f57090c9"/>
    <ds:schemaRef ds:uri="http://purl.org/dc/elements/1.1/"/>
    <ds:schemaRef ds:uri="05627597-0322-42fc-bc19-1d0dde15c694"/>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Holmes, Ellen [NEA]</cp:lastModifiedBy>
  <cp:revision>2</cp:revision>
  <dcterms:created xsi:type="dcterms:W3CDTF">2024-10-09T21:42:00Z</dcterms:created>
  <dcterms:modified xsi:type="dcterms:W3CDTF">2024-10-09T21:42:00Z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