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5364" w:rsidRPr="001D5364" w:rsidRDefault="001D5364" w:rsidP="001D5364">
      <w:pPr>
        <w:pStyle w:val="Heading2"/>
      </w:pPr>
      <w:r w:rsidRPr="001D5364">
        <w:t>Intersectionality: A Vital Tool in Advancing LGBTQ+ Rights</w:t>
      </w:r>
    </w:p>
    <w:p w:rsidR="001D5364" w:rsidRDefault="001D5364" w:rsidP="001D5364">
      <w:pPr>
        <w:pStyle w:val="Heading3"/>
      </w:pPr>
      <w:r w:rsidRPr="001D5364">
        <w:t>November 15, 2021</w:t>
      </w:r>
      <w:r>
        <w:t> </w:t>
      </w:r>
    </w:p>
    <w:p w:rsidR="001D5364" w:rsidRDefault="001D5364" w:rsidP="001D5364">
      <w:pPr>
        <w:spacing w:line="312" w:lineRule="atLeast"/>
        <w:rPr>
          <w:rFonts w:ascii="Arial" w:eastAsia="Times New Roman" w:hAnsi="Arial" w:cs="Arial"/>
          <w:color w:val="6D7275"/>
          <w:sz w:val="26"/>
          <w:szCs w:val="26"/>
        </w:rPr>
      </w:pPr>
      <w:hyperlink r:id="rId5" w:history="1">
        <w:r w:rsidRPr="006E5699">
          <w:rPr>
            <w:rStyle w:val="Hyperlink"/>
            <w:rFonts w:ascii="Arial" w:eastAsia="Times New Roman" w:hAnsi="Arial" w:cs="Arial"/>
            <w:sz w:val="26"/>
            <w:szCs w:val="26"/>
          </w:rPr>
          <w:t>https://cloudburstgroup.com/2021/11/15/intersectionality-a-vital-tool-in-advancing-lgbtq-rights/</w:t>
        </w:r>
      </w:hyperlink>
    </w:p>
    <w:p w:rsidR="001D5364" w:rsidRPr="001D5364" w:rsidRDefault="001D5364" w:rsidP="001D5364">
      <w:pPr>
        <w:spacing w:after="420" w:line="240" w:lineRule="auto"/>
        <w:rPr>
          <w:rFonts w:ascii="Arial" w:eastAsia="Times New Roman" w:hAnsi="Arial" w:cs="Arial"/>
          <w:i/>
          <w:iCs/>
          <w:color w:val="6D7275"/>
          <w:bdr w:val="none" w:sz="0" w:space="0" w:color="auto" w:frame="1"/>
        </w:rPr>
      </w:pPr>
    </w:p>
    <w:p w:rsidR="001D5364" w:rsidRPr="001D5364" w:rsidRDefault="001D5364" w:rsidP="001D5364">
      <w:pPr>
        <w:spacing w:after="420" w:line="240" w:lineRule="auto"/>
        <w:rPr>
          <w:rFonts w:ascii="Arial" w:eastAsia="Times New Roman" w:hAnsi="Arial" w:cs="Arial"/>
          <w:color w:val="6D7275"/>
        </w:rPr>
      </w:pPr>
      <w:r w:rsidRPr="001D5364">
        <w:rPr>
          <w:rFonts w:ascii="Arial" w:eastAsia="Times New Roman" w:hAnsi="Arial" w:cs="Arial"/>
          <w:noProof/>
          <w:color w:val="28262B"/>
          <w:bdr w:val="none" w:sz="0" w:space="0" w:color="auto" w:frame="1"/>
        </w:rPr>
        <w:drawing>
          <wp:anchor distT="0" distB="0" distL="114300" distR="114300" simplePos="0" relativeHeight="251658240" behindDoc="0" locked="0" layoutInCell="1" allowOverlap="1">
            <wp:simplePos x="0" y="0"/>
            <wp:positionH relativeFrom="column">
              <wp:posOffset>-88613</wp:posOffset>
            </wp:positionH>
            <wp:positionV relativeFrom="paragraph">
              <wp:posOffset>49407</wp:posOffset>
            </wp:positionV>
            <wp:extent cx="2970817" cy="1673253"/>
            <wp:effectExtent l="0" t="0" r="1270" b="3175"/>
            <wp:wrapSquare wrapText="bothSides"/>
            <wp:docPr id="1" name="Picture 1" descr="Intersectionality: A Vital Tool in Advancing LGBTQ+ Rights">
              <a:hlinkClick xmlns:a="http://schemas.openxmlformats.org/drawingml/2006/main" r:id="rId6" tooltip="&quot;Intersectionality: A Vital Tool in Advancing LGBTQ+ Right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tersectionality: A Vital Tool in Advancing LGBTQ+ Rights">
                      <a:hlinkClick r:id="rId6" tooltip="&quot;Intersectionality: A Vital Tool in Advancing LGBTQ+ Rights&quot;"/>
                    </pic:cNvPr>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70817" cy="1673253"/>
                    </a:xfrm>
                    <a:prstGeom prst="rect">
                      <a:avLst/>
                    </a:prstGeom>
                    <a:noFill/>
                    <a:ln>
                      <a:noFill/>
                    </a:ln>
                  </pic:spPr>
                </pic:pic>
              </a:graphicData>
            </a:graphic>
          </wp:anchor>
        </w:drawing>
      </w:r>
      <w:r w:rsidRPr="001D5364">
        <w:rPr>
          <w:rFonts w:ascii="Arial" w:eastAsia="Times New Roman" w:hAnsi="Arial" w:cs="Arial"/>
          <w:i/>
          <w:iCs/>
          <w:color w:val="6D7275"/>
          <w:bdr w:val="none" w:sz="0" w:space="0" w:color="auto" w:frame="1"/>
        </w:rPr>
        <w:t>“All human beings should be treated with respect and dignity and should be able to live without fear no matter who they are or whom they love.” </w:t>
      </w:r>
      <w:r w:rsidRPr="001D5364">
        <w:rPr>
          <w:rFonts w:ascii="Arial" w:eastAsia="Times New Roman" w:hAnsi="Arial" w:cs="Arial"/>
          <w:color w:val="6D7275"/>
        </w:rPr>
        <w:t>—President Joe Biden</w:t>
      </w:r>
    </w:p>
    <w:p w:rsidR="001D5364" w:rsidRPr="001D5364" w:rsidRDefault="001D5364" w:rsidP="001D5364">
      <w:pPr>
        <w:spacing w:after="420" w:line="240" w:lineRule="auto"/>
        <w:rPr>
          <w:rFonts w:ascii="Arial" w:eastAsia="Times New Roman" w:hAnsi="Arial" w:cs="Arial"/>
          <w:color w:val="6D7275"/>
        </w:rPr>
      </w:pPr>
      <w:r w:rsidRPr="001D5364">
        <w:rPr>
          <w:rFonts w:ascii="Arial" w:eastAsia="Times New Roman" w:hAnsi="Arial" w:cs="Arial"/>
          <w:color w:val="6D7275"/>
        </w:rPr>
        <w:t>In the United States, the LGBTQ+ community and its allies celebrate Pride month in June and LGBTQ+ history month in October. Both months are a time to celebrate historic achievements of progress, to remember those who have been lost, and to remind us all that the struggle for basic rights for the LGBTQ+ community is far from over. In February 2021, President Biden released a </w:t>
      </w:r>
      <w:hyperlink r:id="rId8" w:tgtFrame="_blank" w:history="1">
        <w:r w:rsidRPr="001D5364">
          <w:rPr>
            <w:rFonts w:ascii="Arial" w:eastAsia="Times New Roman" w:hAnsi="Arial" w:cs="Arial"/>
            <w:color w:val="60B3ED"/>
            <w:u w:val="single"/>
            <w:bdr w:val="none" w:sz="0" w:space="0" w:color="auto" w:frame="1"/>
          </w:rPr>
          <w:t>Memorandum</w:t>
        </w:r>
      </w:hyperlink>
      <w:r w:rsidRPr="001D5364">
        <w:rPr>
          <w:rFonts w:ascii="Arial" w:eastAsia="Times New Roman" w:hAnsi="Arial" w:cs="Arial"/>
          <w:color w:val="6D7275"/>
        </w:rPr>
        <w:t> reaffirming the United States’ commitment to protecting the human rights of lesbian, gay, bisexual, transgender, queer, and intersex persons around the world. As the end of the year approaches, Cloudburst would also like to reaffirm our commitment to embracing diversity, strengthening community and government capacity to address vulnerability, building resilience, and creating lasting impact when responding to development challenges. This goal requires a commitment to advancing LGBTQ+ rights in order to promote a more inclusive, equitable, and diverse society for all individuals.</w:t>
      </w:r>
    </w:p>
    <w:p w:rsidR="001D5364" w:rsidRPr="001D5364" w:rsidRDefault="001D5364" w:rsidP="001D5364">
      <w:pPr>
        <w:spacing w:after="420" w:line="240" w:lineRule="auto"/>
        <w:rPr>
          <w:rFonts w:ascii="Arial" w:eastAsia="Times New Roman" w:hAnsi="Arial" w:cs="Arial"/>
          <w:color w:val="6D7275"/>
        </w:rPr>
      </w:pPr>
      <w:r w:rsidRPr="001D5364">
        <w:rPr>
          <w:rFonts w:ascii="Arial" w:eastAsia="Times New Roman" w:hAnsi="Arial" w:cs="Arial"/>
          <w:color w:val="6D7275"/>
        </w:rPr>
        <w:t xml:space="preserve">Historically, LGBTQ+ communities have been at the forefront of advocating for meaningful social change. While great strides have been made globally, many LGBTQ+ people continue to face extreme levels of </w:t>
      </w:r>
      <w:proofErr w:type="spellStart"/>
      <w:r w:rsidRPr="001D5364">
        <w:rPr>
          <w:rFonts w:ascii="Arial" w:eastAsia="Times New Roman" w:hAnsi="Arial" w:cs="Arial"/>
          <w:color w:val="6D7275"/>
        </w:rPr>
        <w:t>discrimation</w:t>
      </w:r>
      <w:proofErr w:type="spellEnd"/>
      <w:r w:rsidRPr="001D5364">
        <w:rPr>
          <w:rFonts w:ascii="Arial" w:eastAsia="Times New Roman" w:hAnsi="Arial" w:cs="Arial"/>
          <w:color w:val="6D7275"/>
        </w:rPr>
        <w:t xml:space="preserve"> and violence simply based on their sexual orientation or gender identity.</w:t>
      </w:r>
    </w:p>
    <w:p w:rsidR="001D5364" w:rsidRPr="001D5364" w:rsidRDefault="001D5364" w:rsidP="001D5364">
      <w:pPr>
        <w:spacing w:after="420" w:line="240" w:lineRule="auto"/>
        <w:rPr>
          <w:rFonts w:ascii="Arial" w:eastAsia="Times New Roman" w:hAnsi="Arial" w:cs="Arial"/>
          <w:color w:val="6D7275"/>
        </w:rPr>
      </w:pPr>
      <w:r w:rsidRPr="001D5364">
        <w:rPr>
          <w:rFonts w:ascii="Arial" w:eastAsia="Times New Roman" w:hAnsi="Arial" w:cs="Arial"/>
          <w:color w:val="6D7275"/>
        </w:rPr>
        <w:t>The struggles of the LGBTQ+ community are often aggregated into a single group or focus, neglecting the complexity of actual lives lived and the diversity of LGBTQ+ communities across the globe. While some rights have been won for the community as a whole, such as marriage equality in 29 countries, several groups within the community continue to struggle against discrimination and marginalization. Basic human rights such as access to proper healthcare, education, employment, housing, and fair justice systems are not guaranteed for many communities, including LGBTQ+ persons of color, transgender persons, and older persons. </w:t>
      </w:r>
      <w:r w:rsidRPr="001D5364">
        <w:rPr>
          <w:rFonts w:ascii="Arial" w:eastAsia="Times New Roman" w:hAnsi="Arial" w:cs="Arial"/>
          <w:b/>
          <w:bCs/>
          <w:color w:val="6D7275"/>
          <w:bdr w:val="none" w:sz="0" w:space="0" w:color="auto" w:frame="1"/>
        </w:rPr>
        <w:t> </w:t>
      </w:r>
    </w:p>
    <w:p w:rsidR="001D5364" w:rsidRPr="001D5364" w:rsidRDefault="001D5364" w:rsidP="001D5364">
      <w:pPr>
        <w:pStyle w:val="ListParagraph"/>
        <w:numPr>
          <w:ilvl w:val="0"/>
          <w:numId w:val="4"/>
        </w:numPr>
        <w:spacing w:before="100" w:beforeAutospacing="1" w:after="120" w:line="240" w:lineRule="auto"/>
        <w:rPr>
          <w:rFonts w:ascii="Arial" w:eastAsia="Times New Roman" w:hAnsi="Arial" w:cs="Arial"/>
          <w:color w:val="6D7275"/>
        </w:rPr>
      </w:pPr>
      <w:r w:rsidRPr="001D5364">
        <w:rPr>
          <w:rFonts w:ascii="Arial" w:eastAsia="Times New Roman" w:hAnsi="Arial" w:cs="Arial"/>
          <w:color w:val="6D7275"/>
        </w:rPr>
        <w:t>Last year, 8% of transgender adults in the U.S. experienced homelessness (The Williams Institute, 2020).</w:t>
      </w:r>
    </w:p>
    <w:p w:rsidR="001D5364" w:rsidRPr="001D5364" w:rsidRDefault="001D5364" w:rsidP="001D5364">
      <w:pPr>
        <w:pStyle w:val="ListParagraph"/>
        <w:numPr>
          <w:ilvl w:val="0"/>
          <w:numId w:val="4"/>
        </w:numPr>
        <w:spacing w:before="100" w:beforeAutospacing="1" w:after="120" w:line="240" w:lineRule="auto"/>
        <w:rPr>
          <w:rFonts w:ascii="Arial" w:eastAsia="Times New Roman" w:hAnsi="Arial" w:cs="Arial"/>
          <w:color w:val="6D7275"/>
        </w:rPr>
      </w:pPr>
      <w:r w:rsidRPr="001D5364">
        <w:rPr>
          <w:rFonts w:ascii="Arial" w:eastAsia="Times New Roman" w:hAnsi="Arial" w:cs="Arial"/>
          <w:color w:val="6D7275"/>
        </w:rPr>
        <w:t>Among sexual minority adults, African American respondents had significantly higher rates (6%) of recent housing instability.</w:t>
      </w:r>
    </w:p>
    <w:p w:rsidR="001D5364" w:rsidRPr="001D5364" w:rsidRDefault="001D5364" w:rsidP="001D5364">
      <w:pPr>
        <w:pStyle w:val="ListParagraph"/>
        <w:numPr>
          <w:ilvl w:val="0"/>
          <w:numId w:val="4"/>
        </w:numPr>
        <w:spacing w:before="100" w:beforeAutospacing="1" w:after="120" w:line="240" w:lineRule="auto"/>
        <w:rPr>
          <w:rFonts w:ascii="Arial" w:eastAsia="Times New Roman" w:hAnsi="Arial" w:cs="Arial"/>
          <w:color w:val="6D7275"/>
        </w:rPr>
      </w:pPr>
      <w:r w:rsidRPr="001D5364">
        <w:rPr>
          <w:rFonts w:ascii="Arial" w:eastAsia="Times New Roman" w:hAnsi="Arial" w:cs="Arial"/>
          <w:color w:val="6D7275"/>
        </w:rPr>
        <w:t>Older LGBTQ couples, especially older lesbian couples, experience higher rates of poverty (9.1%) than older heterosexual couples (4.6%) (</w:t>
      </w:r>
      <w:hyperlink r:id="rId9" w:tgtFrame="_blank" w:history="1">
        <w:r w:rsidRPr="001D5364">
          <w:rPr>
            <w:rFonts w:ascii="Arial" w:eastAsia="Times New Roman" w:hAnsi="Arial" w:cs="Arial"/>
            <w:color w:val="60B3ED"/>
            <w:u w:val="single"/>
            <w:bdr w:val="none" w:sz="0" w:space="0" w:color="auto" w:frame="1"/>
          </w:rPr>
          <w:t>Center for American Progress, 2009</w:t>
        </w:r>
      </w:hyperlink>
      <w:r w:rsidRPr="001D5364">
        <w:rPr>
          <w:rFonts w:ascii="Arial" w:eastAsia="Times New Roman" w:hAnsi="Arial" w:cs="Arial"/>
          <w:color w:val="6D7275"/>
        </w:rPr>
        <w:t>).</w:t>
      </w:r>
    </w:p>
    <w:p w:rsidR="001D5364" w:rsidRPr="001D5364" w:rsidRDefault="001D5364" w:rsidP="001D5364">
      <w:pPr>
        <w:pStyle w:val="ListParagraph"/>
        <w:numPr>
          <w:ilvl w:val="0"/>
          <w:numId w:val="4"/>
        </w:numPr>
        <w:spacing w:before="100" w:beforeAutospacing="1" w:after="120" w:line="240" w:lineRule="auto"/>
        <w:rPr>
          <w:rFonts w:ascii="Arial" w:eastAsia="Times New Roman" w:hAnsi="Arial" w:cs="Arial"/>
          <w:color w:val="6D7275"/>
        </w:rPr>
      </w:pPr>
      <w:r w:rsidRPr="001D5364">
        <w:rPr>
          <w:rFonts w:ascii="Arial" w:eastAsia="Times New Roman" w:hAnsi="Arial" w:cs="Arial"/>
          <w:color w:val="6D7275"/>
        </w:rPr>
        <w:t>A recent study showed that 17.6% of LGBTQ people with disabilities and 12.5% of LGBTQ people of color need and receive public housing assistance, compared to 2.5% of non-LGBTQ people (</w:t>
      </w:r>
      <w:hyperlink r:id="rId10" w:tgtFrame="_blank" w:history="1">
        <w:r w:rsidRPr="001D5364">
          <w:rPr>
            <w:rFonts w:ascii="Arial" w:eastAsia="Times New Roman" w:hAnsi="Arial" w:cs="Arial"/>
            <w:color w:val="60B3ED"/>
            <w:u w:val="single"/>
            <w:bdr w:val="none" w:sz="0" w:space="0" w:color="auto" w:frame="1"/>
          </w:rPr>
          <w:t>Center for American Progress, 2018</w:t>
        </w:r>
      </w:hyperlink>
      <w:r w:rsidRPr="001D5364">
        <w:rPr>
          <w:rFonts w:ascii="Arial" w:eastAsia="Times New Roman" w:hAnsi="Arial" w:cs="Arial"/>
          <w:color w:val="6D7275"/>
        </w:rPr>
        <w:t>).</w:t>
      </w:r>
    </w:p>
    <w:p w:rsidR="001D5364" w:rsidRPr="001D5364" w:rsidRDefault="001D5364" w:rsidP="001D5364">
      <w:pPr>
        <w:pStyle w:val="ListParagraph"/>
        <w:numPr>
          <w:ilvl w:val="0"/>
          <w:numId w:val="4"/>
        </w:numPr>
        <w:spacing w:before="100" w:beforeAutospacing="1" w:after="120" w:line="240" w:lineRule="auto"/>
        <w:rPr>
          <w:rFonts w:ascii="Arial" w:eastAsia="Times New Roman" w:hAnsi="Arial" w:cs="Arial"/>
          <w:color w:val="6D7275"/>
        </w:rPr>
      </w:pPr>
      <w:r w:rsidRPr="001D5364">
        <w:rPr>
          <w:rFonts w:ascii="Arial" w:eastAsia="Times New Roman" w:hAnsi="Arial" w:cs="Arial"/>
          <w:color w:val="6D7275"/>
        </w:rPr>
        <w:t>LBT women are five times more likely than non-LBT women to experience violent victimization. </w:t>
      </w:r>
    </w:p>
    <w:p w:rsidR="001D5364" w:rsidRPr="001D5364" w:rsidRDefault="001D5364" w:rsidP="001D5364">
      <w:pPr>
        <w:pStyle w:val="ListParagraph"/>
        <w:numPr>
          <w:ilvl w:val="0"/>
          <w:numId w:val="4"/>
        </w:numPr>
        <w:spacing w:before="100" w:beforeAutospacing="1" w:after="120" w:line="240" w:lineRule="auto"/>
        <w:rPr>
          <w:rFonts w:ascii="Arial" w:eastAsia="Times New Roman" w:hAnsi="Arial" w:cs="Arial"/>
          <w:color w:val="6D7275"/>
        </w:rPr>
      </w:pPr>
      <w:r w:rsidRPr="001D5364">
        <w:rPr>
          <w:rFonts w:ascii="Arial" w:eastAsia="Times New Roman" w:hAnsi="Arial" w:cs="Arial"/>
          <w:color w:val="6D7275"/>
        </w:rPr>
        <w:t>LGBTQ youth are 120% more likely to experience homelessness. (</w:t>
      </w:r>
      <w:r w:rsidRPr="001D5364">
        <w:rPr>
          <w:rFonts w:ascii="Arial" w:eastAsia="Times New Roman" w:hAnsi="Arial" w:cs="Arial"/>
          <w:i/>
          <w:iCs/>
          <w:color w:val="6D7275"/>
          <w:bdr w:val="none" w:sz="0" w:space="0" w:color="auto" w:frame="1"/>
        </w:rPr>
        <w:t>Missed opportunities: Youth homelessness in America. National estimates.</w:t>
      </w:r>
      <w:r w:rsidRPr="001D5364">
        <w:rPr>
          <w:rFonts w:ascii="Arial" w:eastAsia="Times New Roman" w:hAnsi="Arial" w:cs="Arial"/>
          <w:color w:val="6D7275"/>
        </w:rPr>
        <w:t> Chicago, IL: Chapin Hall at the University of Chicago).</w:t>
      </w:r>
    </w:p>
    <w:p w:rsidR="001D5364" w:rsidRPr="001D5364" w:rsidRDefault="001D5364" w:rsidP="001D5364">
      <w:pPr>
        <w:pStyle w:val="ListParagraph"/>
        <w:numPr>
          <w:ilvl w:val="0"/>
          <w:numId w:val="4"/>
        </w:numPr>
        <w:spacing w:before="100" w:beforeAutospacing="1" w:after="120" w:line="240" w:lineRule="auto"/>
        <w:rPr>
          <w:rFonts w:ascii="Arial" w:eastAsia="Times New Roman" w:hAnsi="Arial" w:cs="Arial"/>
          <w:color w:val="6D7275"/>
        </w:rPr>
      </w:pPr>
      <w:r w:rsidRPr="001D5364">
        <w:rPr>
          <w:rFonts w:ascii="Arial" w:eastAsia="Times New Roman" w:hAnsi="Arial" w:cs="Arial"/>
          <w:color w:val="6D7275"/>
        </w:rPr>
        <w:t>Despite having similar rates of mental health disparities, Black LGBTQ youth are significantly less likely to receive professional care. (The Trevor Project, 2020). </w:t>
      </w:r>
    </w:p>
    <w:p w:rsidR="001D5364" w:rsidRPr="001D5364" w:rsidRDefault="001D5364" w:rsidP="001D5364">
      <w:pPr>
        <w:spacing w:after="420" w:line="240" w:lineRule="auto"/>
        <w:rPr>
          <w:rFonts w:ascii="Arial" w:eastAsia="Times New Roman" w:hAnsi="Arial" w:cs="Arial"/>
          <w:color w:val="6D7275"/>
        </w:rPr>
      </w:pPr>
      <w:r w:rsidRPr="001D5364">
        <w:rPr>
          <w:rFonts w:ascii="Arial" w:eastAsia="Times New Roman" w:hAnsi="Arial" w:cs="Arial"/>
          <w:color w:val="6D7275"/>
        </w:rPr>
        <w:t xml:space="preserve">The struggle for LGBTQ+ people to live a dignified life is often exacerbated by multiple intersectional traits. The data above shows how some identities in the LGBTQ+ community might see better access to equality while </w:t>
      </w:r>
      <w:r w:rsidRPr="001D5364">
        <w:rPr>
          <w:rFonts w:ascii="Arial" w:eastAsia="Times New Roman" w:hAnsi="Arial" w:cs="Arial"/>
          <w:color w:val="6D7275"/>
        </w:rPr>
        <w:lastRenderedPageBreak/>
        <w:t>others (especially transgender persons and LGBTQ+ persons of color, disabled persons, and older persons) face additional barriers or hardships that are erased by aggregating the community as a whole. </w:t>
      </w:r>
    </w:p>
    <w:p w:rsidR="001D5364" w:rsidRPr="001D5364" w:rsidRDefault="001D5364" w:rsidP="001D5364">
      <w:pPr>
        <w:spacing w:after="420" w:line="240" w:lineRule="auto"/>
        <w:rPr>
          <w:rFonts w:ascii="Arial" w:eastAsia="Times New Roman" w:hAnsi="Arial" w:cs="Arial"/>
          <w:color w:val="6D7275"/>
        </w:rPr>
      </w:pPr>
      <w:r w:rsidRPr="001D5364">
        <w:rPr>
          <w:rFonts w:ascii="Arial" w:eastAsia="Times New Roman" w:hAnsi="Arial" w:cs="Arial"/>
          <w:color w:val="6D7275"/>
        </w:rPr>
        <w:t>While there are some federal rights and protections for LGBTQ+ people, data also shows that even when legal equality is achieved, progress is often slow to reach the most vulnerable populations. Through the lens of housing in the U.S., one can examine how race, citizenship, ability, gender identity, and geography can intersect to impact the lived experience of LGBTQ+ people and their ability to fully benefit from legal protection.  </w:t>
      </w:r>
    </w:p>
    <w:p w:rsidR="001D5364" w:rsidRPr="001D5364" w:rsidRDefault="001D5364" w:rsidP="001D5364">
      <w:pPr>
        <w:spacing w:after="420" w:line="240" w:lineRule="auto"/>
        <w:rPr>
          <w:rFonts w:ascii="Arial" w:eastAsia="Times New Roman" w:hAnsi="Arial" w:cs="Arial"/>
          <w:color w:val="6D7275"/>
        </w:rPr>
      </w:pPr>
      <w:r w:rsidRPr="001D5364">
        <w:rPr>
          <w:rFonts w:ascii="Arial" w:eastAsia="Times New Roman" w:hAnsi="Arial" w:cs="Arial"/>
          <w:b/>
          <w:bCs/>
          <w:color w:val="6D7275"/>
          <w:bdr w:val="none" w:sz="0" w:space="0" w:color="auto" w:frame="1"/>
        </w:rPr>
        <w:t>For example: </w:t>
      </w:r>
    </w:p>
    <w:p w:rsidR="001D5364" w:rsidRPr="001D5364" w:rsidRDefault="001D5364" w:rsidP="001D5364">
      <w:pPr>
        <w:numPr>
          <w:ilvl w:val="0"/>
          <w:numId w:val="5"/>
        </w:numPr>
        <w:spacing w:before="100" w:beforeAutospacing="1" w:after="120" w:line="240" w:lineRule="auto"/>
        <w:rPr>
          <w:rFonts w:ascii="Arial" w:eastAsia="Times New Roman" w:hAnsi="Arial" w:cs="Arial"/>
          <w:color w:val="6D7275"/>
        </w:rPr>
      </w:pPr>
      <w:r w:rsidRPr="001D5364">
        <w:rPr>
          <w:rFonts w:ascii="Arial" w:eastAsia="Times New Roman" w:hAnsi="Arial" w:cs="Arial"/>
          <w:color w:val="6D7275"/>
        </w:rPr>
        <w:t>Only 21 states, including the District of Columbia, have housing nondiscrimination laws that cover sexual orientation and gender identity.</w:t>
      </w:r>
    </w:p>
    <w:p w:rsidR="001D5364" w:rsidRPr="001D5364" w:rsidRDefault="001D5364" w:rsidP="001D5364">
      <w:pPr>
        <w:numPr>
          <w:ilvl w:val="0"/>
          <w:numId w:val="5"/>
        </w:numPr>
        <w:spacing w:before="100" w:beforeAutospacing="1" w:after="120" w:line="240" w:lineRule="auto"/>
        <w:rPr>
          <w:rFonts w:ascii="Arial" w:eastAsia="Times New Roman" w:hAnsi="Arial" w:cs="Arial"/>
          <w:color w:val="6D7275"/>
        </w:rPr>
      </w:pPr>
      <w:r w:rsidRPr="001D5364">
        <w:rPr>
          <w:rFonts w:ascii="Arial" w:eastAsia="Times New Roman" w:hAnsi="Arial" w:cs="Arial"/>
          <w:color w:val="6D7275"/>
        </w:rPr>
        <w:t>LGBTQ+ older adults face discrimination in the sale and rental of housing as well as in mortgage lending, which adversely impacts access to housing. One study found that 48% of older same-sex couples applying for senior housing were subjected to discrimination (</w:t>
      </w:r>
      <w:hyperlink r:id="rId11" w:tgtFrame="_blank" w:history="1">
        <w:r w:rsidRPr="001D5364">
          <w:rPr>
            <w:rFonts w:ascii="Arial" w:eastAsia="Times New Roman" w:hAnsi="Arial" w:cs="Arial"/>
            <w:color w:val="60B3ED"/>
            <w:u w:val="single"/>
            <w:bdr w:val="none" w:sz="0" w:space="0" w:color="auto" w:frame="1"/>
          </w:rPr>
          <w:t>The Equal Rights Center, 2014</w:t>
        </w:r>
      </w:hyperlink>
      <w:r w:rsidRPr="001D5364">
        <w:rPr>
          <w:rFonts w:ascii="Arial" w:eastAsia="Times New Roman" w:hAnsi="Arial" w:cs="Arial"/>
          <w:color w:val="6D7275"/>
        </w:rPr>
        <w:t>).</w:t>
      </w:r>
    </w:p>
    <w:p w:rsidR="001D5364" w:rsidRPr="001D5364" w:rsidRDefault="001D5364" w:rsidP="001D5364">
      <w:pPr>
        <w:numPr>
          <w:ilvl w:val="0"/>
          <w:numId w:val="5"/>
        </w:numPr>
        <w:spacing w:before="100" w:beforeAutospacing="1" w:after="120" w:line="240" w:lineRule="auto"/>
        <w:rPr>
          <w:rFonts w:ascii="Arial" w:eastAsia="Times New Roman" w:hAnsi="Arial" w:cs="Arial"/>
          <w:color w:val="6D7275"/>
        </w:rPr>
      </w:pPr>
      <w:r w:rsidRPr="001D5364">
        <w:rPr>
          <w:rFonts w:ascii="Arial" w:eastAsia="Times New Roman" w:hAnsi="Arial" w:cs="Arial"/>
          <w:color w:val="6D7275"/>
        </w:rPr>
        <w:t xml:space="preserve">Same-sex couples and </w:t>
      </w:r>
      <w:proofErr w:type="spellStart"/>
      <w:r w:rsidRPr="001D5364">
        <w:rPr>
          <w:rFonts w:ascii="Arial" w:eastAsia="Times New Roman" w:hAnsi="Arial" w:cs="Arial"/>
          <w:color w:val="6D7275"/>
        </w:rPr>
        <w:t>and</w:t>
      </w:r>
      <w:proofErr w:type="spellEnd"/>
      <w:r w:rsidRPr="001D5364">
        <w:rPr>
          <w:rFonts w:ascii="Arial" w:eastAsia="Times New Roman" w:hAnsi="Arial" w:cs="Arial"/>
          <w:color w:val="6D7275"/>
        </w:rPr>
        <w:t xml:space="preserve"> transgender people experienced discrimination in rental housing searches, even in areas with antidiscrimination protections.</w:t>
      </w:r>
    </w:p>
    <w:p w:rsidR="001D5364" w:rsidRPr="001D5364" w:rsidRDefault="001D5364" w:rsidP="001D5364">
      <w:pPr>
        <w:numPr>
          <w:ilvl w:val="0"/>
          <w:numId w:val="5"/>
        </w:numPr>
        <w:spacing w:before="100" w:beforeAutospacing="1" w:after="120" w:line="240" w:lineRule="auto"/>
        <w:rPr>
          <w:rFonts w:ascii="Arial" w:eastAsia="Times New Roman" w:hAnsi="Arial" w:cs="Arial"/>
          <w:color w:val="6D7275"/>
        </w:rPr>
      </w:pPr>
      <w:r w:rsidRPr="001D5364">
        <w:rPr>
          <w:rFonts w:ascii="Arial" w:eastAsia="Times New Roman" w:hAnsi="Arial" w:cs="Arial"/>
          <w:color w:val="6D7275"/>
        </w:rPr>
        <w:t>According to representative data from 35 states, nearly half (49.8%) of LGBTQ+ adults own their homes, compared to 70.1% of non-LGBTQ+ adults (</w:t>
      </w:r>
      <w:proofErr w:type="spellStart"/>
      <w:r w:rsidRPr="001D5364">
        <w:rPr>
          <w:rFonts w:ascii="Arial" w:eastAsia="Times New Roman" w:hAnsi="Arial" w:cs="Arial"/>
          <w:color w:val="6D7275"/>
        </w:rPr>
        <w:t>Conron</w:t>
      </w:r>
      <w:proofErr w:type="spellEnd"/>
      <w:r w:rsidRPr="001D5364">
        <w:rPr>
          <w:rFonts w:ascii="Arial" w:eastAsia="Times New Roman" w:hAnsi="Arial" w:cs="Arial"/>
          <w:color w:val="6D7275"/>
        </w:rPr>
        <w:t>, 2019). </w:t>
      </w:r>
    </w:p>
    <w:p w:rsidR="001D5364" w:rsidRPr="001D5364" w:rsidRDefault="001D5364" w:rsidP="001D5364">
      <w:pPr>
        <w:numPr>
          <w:ilvl w:val="0"/>
          <w:numId w:val="5"/>
        </w:numPr>
        <w:spacing w:before="100" w:beforeAutospacing="1" w:after="120" w:line="240" w:lineRule="auto"/>
        <w:rPr>
          <w:rFonts w:ascii="Arial" w:eastAsia="Times New Roman" w:hAnsi="Arial" w:cs="Arial"/>
          <w:color w:val="6D7275"/>
        </w:rPr>
      </w:pPr>
      <w:r w:rsidRPr="001D5364">
        <w:rPr>
          <w:rFonts w:ascii="Arial" w:eastAsia="Times New Roman" w:hAnsi="Arial" w:cs="Arial"/>
          <w:color w:val="6D7275"/>
        </w:rPr>
        <w:t>Among transgender people, rates of homeownership are even lower: an analysis of the first nationally representative sample of transgender adults found that only one fourth (25%) are homeowners (Meyer et al., 2019). </w:t>
      </w:r>
    </w:p>
    <w:p w:rsidR="001D5364" w:rsidRPr="001D5364" w:rsidRDefault="001D5364" w:rsidP="001D5364">
      <w:pPr>
        <w:numPr>
          <w:ilvl w:val="0"/>
          <w:numId w:val="5"/>
        </w:numPr>
        <w:spacing w:before="100" w:beforeAutospacing="1" w:after="120" w:line="240" w:lineRule="auto"/>
        <w:rPr>
          <w:rFonts w:ascii="Arial" w:eastAsia="Times New Roman" w:hAnsi="Arial" w:cs="Arial"/>
          <w:color w:val="6D7275"/>
        </w:rPr>
      </w:pPr>
      <w:r w:rsidRPr="001D5364">
        <w:rPr>
          <w:rFonts w:ascii="Arial" w:eastAsia="Times New Roman" w:hAnsi="Arial" w:cs="Arial"/>
          <w:color w:val="6D7275"/>
        </w:rPr>
        <w:t>Black, White, Asian, and other-race LGBTQ+ people have statistically significant higher poverty rates than their same-race cisgender straight counterparts. For example, 30.8% of Black LGBT people live in poverty, whereas 25.3% of Black cisgender straight people live in poverty (The Williams Institute).</w:t>
      </w:r>
    </w:p>
    <w:p w:rsidR="001D5364" w:rsidRPr="001D5364" w:rsidRDefault="001D5364" w:rsidP="001D5364">
      <w:pPr>
        <w:numPr>
          <w:ilvl w:val="0"/>
          <w:numId w:val="5"/>
        </w:numPr>
        <w:spacing w:before="100" w:beforeAutospacing="1" w:after="120" w:line="240" w:lineRule="auto"/>
        <w:rPr>
          <w:rFonts w:ascii="Arial" w:eastAsia="Times New Roman" w:hAnsi="Arial" w:cs="Arial"/>
          <w:color w:val="6D7275"/>
        </w:rPr>
      </w:pPr>
      <w:r w:rsidRPr="001D5364">
        <w:rPr>
          <w:rFonts w:ascii="Arial" w:eastAsia="Times New Roman" w:hAnsi="Arial" w:cs="Arial"/>
          <w:color w:val="6D7275"/>
        </w:rPr>
        <w:t xml:space="preserve">According to a National Transgender </w:t>
      </w:r>
      <w:proofErr w:type="spellStart"/>
      <w:r w:rsidRPr="001D5364">
        <w:rPr>
          <w:rFonts w:ascii="Arial" w:eastAsia="Times New Roman" w:hAnsi="Arial" w:cs="Arial"/>
          <w:color w:val="6D7275"/>
        </w:rPr>
        <w:t>Discrimation</w:t>
      </w:r>
      <w:proofErr w:type="spellEnd"/>
      <w:r w:rsidRPr="001D5364">
        <w:rPr>
          <w:rFonts w:ascii="Arial" w:eastAsia="Times New Roman" w:hAnsi="Arial" w:cs="Arial"/>
          <w:color w:val="6D7275"/>
        </w:rPr>
        <w:t xml:space="preserve"> report, “of those who have transitioned gender, only one-fifth (21%) have been able to update all of their IDs and records with their new gender” (The National Gay and Lesbian Task Force and the National Center for Transgender Equality, 2011). </w:t>
      </w:r>
    </w:p>
    <w:p w:rsidR="001D5364" w:rsidRPr="001D5364" w:rsidRDefault="001D5364" w:rsidP="001D5364">
      <w:pPr>
        <w:numPr>
          <w:ilvl w:val="0"/>
          <w:numId w:val="5"/>
        </w:numPr>
        <w:spacing w:before="100" w:beforeAutospacing="1" w:after="120" w:line="240" w:lineRule="auto"/>
        <w:rPr>
          <w:rFonts w:ascii="Arial" w:eastAsia="Times New Roman" w:hAnsi="Arial" w:cs="Arial"/>
          <w:color w:val="6D7275"/>
        </w:rPr>
      </w:pPr>
      <w:r w:rsidRPr="001D5364">
        <w:rPr>
          <w:rFonts w:ascii="Arial" w:eastAsia="Times New Roman" w:hAnsi="Arial" w:cs="Arial"/>
          <w:color w:val="6D7275"/>
        </w:rPr>
        <w:t>There are approximately 1 million LGBTQ+ immigrants in the U.S.—and 30% are undocumented (lgbtmap.org). </w:t>
      </w:r>
    </w:p>
    <w:p w:rsidR="001D5364" w:rsidRPr="001D5364" w:rsidRDefault="001D5364" w:rsidP="001D5364">
      <w:pPr>
        <w:pStyle w:val="ListParagraph"/>
        <w:numPr>
          <w:ilvl w:val="0"/>
          <w:numId w:val="5"/>
        </w:numPr>
        <w:spacing w:after="420" w:line="240" w:lineRule="auto"/>
        <w:rPr>
          <w:rFonts w:ascii="Arial" w:eastAsia="Times New Roman" w:hAnsi="Arial" w:cs="Arial"/>
          <w:color w:val="6D7275"/>
        </w:rPr>
      </w:pPr>
      <w:r w:rsidRPr="001D5364">
        <w:rPr>
          <w:rFonts w:ascii="Arial" w:eastAsia="Times New Roman" w:hAnsi="Arial" w:cs="Arial"/>
          <w:color w:val="6D7275"/>
        </w:rPr>
        <w:t>The few examples above illustrate how different social identities can create overlapping systems of privilege or oppression. The ways in which these identities interact in the real world can impact one’s access to legal protection, healthcare, homeless services, and basic social services and significantly impact one’s ability to achieve upward mobility. Using an intersectional and historical approach to understanding the diverse realities of LGBTQ+ people can help set a foundational framework for creating a more inclusive world where change is not reserved only for select groups of people. </w:t>
      </w:r>
    </w:p>
    <w:p w:rsidR="00E84DA0" w:rsidRDefault="00E84DA0">
      <w:bookmarkStart w:id="0" w:name="_GoBack"/>
      <w:bookmarkEnd w:id="0"/>
    </w:p>
    <w:sectPr w:rsidR="00E84DA0" w:rsidSect="001D536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333839"/>
    <w:multiLevelType w:val="multilevel"/>
    <w:tmpl w:val="44A6EE2A"/>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 w15:restartNumberingAfterBreak="0">
    <w:nsid w:val="307E7CA7"/>
    <w:multiLevelType w:val="hybridMultilevel"/>
    <w:tmpl w:val="BB4037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5D726F9"/>
    <w:multiLevelType w:val="multilevel"/>
    <w:tmpl w:val="B9C40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80A6291"/>
    <w:multiLevelType w:val="multilevel"/>
    <w:tmpl w:val="2F46F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A4E6F44"/>
    <w:multiLevelType w:val="hybridMultilevel"/>
    <w:tmpl w:val="AE06D0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 w:numId="2">
    <w:abstractNumId w:val="2"/>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6"/>
  <w:proofState w:spelling="clean" w:grammar="clean"/>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5364"/>
    <w:rsid w:val="001D5364"/>
    <w:rsid w:val="00E84D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F76E90"/>
  <w15:chartTrackingRefBased/>
  <w15:docId w15:val="{89A0D495-7F70-4CF7-B57E-5CA674B503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1D536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1D5364"/>
    <w:pPr>
      <w:keepNext/>
      <w:spacing w:after="0" w:line="288" w:lineRule="atLeast"/>
      <w:outlineLvl w:val="1"/>
    </w:pPr>
    <w:rPr>
      <w:rFonts w:ascii="Arial" w:eastAsia="Times New Roman" w:hAnsi="Arial" w:cs="Arial"/>
      <w:color w:val="28262B"/>
      <w:kern w:val="36"/>
      <w:sz w:val="36"/>
      <w:szCs w:val="36"/>
    </w:rPr>
  </w:style>
  <w:style w:type="paragraph" w:styleId="Heading3">
    <w:name w:val="heading 3"/>
    <w:basedOn w:val="Normal"/>
    <w:next w:val="Normal"/>
    <w:link w:val="Heading3Char"/>
    <w:uiPriority w:val="9"/>
    <w:unhideWhenUsed/>
    <w:qFormat/>
    <w:rsid w:val="001D5364"/>
    <w:pPr>
      <w:keepNext/>
      <w:spacing w:line="312" w:lineRule="atLeast"/>
      <w:outlineLvl w:val="2"/>
    </w:pPr>
    <w:rPr>
      <w:rFonts w:ascii="Arial" w:eastAsia="Times New Roman" w:hAnsi="Arial" w:cs="Arial"/>
      <w:i/>
      <w:iCs/>
      <w:color w:val="6D7275"/>
      <w:sz w:val="24"/>
      <w:szCs w:val="24"/>
      <w:bdr w:val="none" w:sz="0" w:space="0" w:color="auto" w:frame="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5364"/>
    <w:rPr>
      <w:rFonts w:ascii="Times New Roman" w:eastAsia="Times New Roman" w:hAnsi="Times New Roman" w:cs="Times New Roman"/>
      <w:b/>
      <w:bCs/>
      <w:kern w:val="36"/>
      <w:sz w:val="48"/>
      <w:szCs w:val="48"/>
    </w:rPr>
  </w:style>
  <w:style w:type="character" w:customStyle="1" w:styleId="postinfoitem">
    <w:name w:val="post_info_item"/>
    <w:basedOn w:val="DefaultParagraphFont"/>
    <w:rsid w:val="001D5364"/>
  </w:style>
  <w:style w:type="character" w:customStyle="1" w:styleId="postcountersitem">
    <w:name w:val="post_counters_item"/>
    <w:basedOn w:val="DefaultParagraphFont"/>
    <w:rsid w:val="001D5364"/>
  </w:style>
  <w:style w:type="character" w:styleId="Hyperlink">
    <w:name w:val="Hyperlink"/>
    <w:basedOn w:val="DefaultParagraphFont"/>
    <w:uiPriority w:val="99"/>
    <w:unhideWhenUsed/>
    <w:rsid w:val="001D5364"/>
    <w:rPr>
      <w:color w:val="0000FF"/>
      <w:u w:val="single"/>
    </w:rPr>
  </w:style>
  <w:style w:type="character" w:customStyle="1" w:styleId="postcountersnumber">
    <w:name w:val="post_counters_number"/>
    <w:basedOn w:val="DefaultParagraphFont"/>
    <w:rsid w:val="001D5364"/>
  </w:style>
  <w:style w:type="paragraph" w:styleId="NormalWeb">
    <w:name w:val="Normal (Web)"/>
    <w:basedOn w:val="Normal"/>
    <w:uiPriority w:val="99"/>
    <w:semiHidden/>
    <w:unhideWhenUsed/>
    <w:rsid w:val="001D536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1D5364"/>
    <w:rPr>
      <w:i/>
      <w:iCs/>
    </w:rPr>
  </w:style>
  <w:style w:type="character" w:styleId="Strong">
    <w:name w:val="Strong"/>
    <w:basedOn w:val="DefaultParagraphFont"/>
    <w:uiPriority w:val="22"/>
    <w:qFormat/>
    <w:rsid w:val="001D5364"/>
    <w:rPr>
      <w:b/>
      <w:bCs/>
    </w:rPr>
  </w:style>
  <w:style w:type="character" w:customStyle="1" w:styleId="Heading2Char">
    <w:name w:val="Heading 2 Char"/>
    <w:basedOn w:val="DefaultParagraphFont"/>
    <w:link w:val="Heading2"/>
    <w:uiPriority w:val="9"/>
    <w:rsid w:val="001D5364"/>
    <w:rPr>
      <w:rFonts w:ascii="Arial" w:eastAsia="Times New Roman" w:hAnsi="Arial" w:cs="Arial"/>
      <w:color w:val="28262B"/>
      <w:kern w:val="36"/>
      <w:sz w:val="36"/>
      <w:szCs w:val="36"/>
    </w:rPr>
  </w:style>
  <w:style w:type="character" w:customStyle="1" w:styleId="Heading3Char">
    <w:name w:val="Heading 3 Char"/>
    <w:basedOn w:val="DefaultParagraphFont"/>
    <w:link w:val="Heading3"/>
    <w:uiPriority w:val="9"/>
    <w:rsid w:val="001D5364"/>
    <w:rPr>
      <w:rFonts w:ascii="Arial" w:eastAsia="Times New Roman" w:hAnsi="Arial" w:cs="Arial"/>
      <w:i/>
      <w:iCs/>
      <w:color w:val="6D7275"/>
      <w:sz w:val="24"/>
      <w:szCs w:val="24"/>
      <w:bdr w:val="none" w:sz="0" w:space="0" w:color="auto" w:frame="1"/>
    </w:rPr>
  </w:style>
  <w:style w:type="paragraph" w:styleId="ListParagraph">
    <w:name w:val="List Paragraph"/>
    <w:basedOn w:val="Normal"/>
    <w:uiPriority w:val="34"/>
    <w:qFormat/>
    <w:rsid w:val="001D536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0459280">
      <w:bodyDiv w:val="1"/>
      <w:marLeft w:val="0"/>
      <w:marRight w:val="0"/>
      <w:marTop w:val="0"/>
      <w:marBottom w:val="0"/>
      <w:divBdr>
        <w:top w:val="none" w:sz="0" w:space="0" w:color="auto"/>
        <w:left w:val="none" w:sz="0" w:space="0" w:color="auto"/>
        <w:bottom w:val="none" w:sz="0" w:space="0" w:color="auto"/>
        <w:right w:val="none" w:sz="0" w:space="0" w:color="auto"/>
      </w:divBdr>
      <w:divsChild>
        <w:div w:id="1855340957">
          <w:marLeft w:val="0"/>
          <w:marRight w:val="0"/>
          <w:marTop w:val="0"/>
          <w:marBottom w:val="0"/>
          <w:divBdr>
            <w:top w:val="none" w:sz="0" w:space="0" w:color="auto"/>
            <w:left w:val="none" w:sz="0" w:space="0" w:color="auto"/>
            <w:bottom w:val="none" w:sz="0" w:space="0" w:color="auto"/>
            <w:right w:val="none" w:sz="0" w:space="0" w:color="auto"/>
          </w:divBdr>
          <w:divsChild>
            <w:div w:id="649407697">
              <w:marLeft w:val="0"/>
              <w:marRight w:val="0"/>
              <w:marTop w:val="0"/>
              <w:marBottom w:val="0"/>
              <w:divBdr>
                <w:top w:val="none" w:sz="0" w:space="0" w:color="auto"/>
                <w:left w:val="none" w:sz="0" w:space="0" w:color="auto"/>
                <w:bottom w:val="none" w:sz="0" w:space="0" w:color="auto"/>
                <w:right w:val="none" w:sz="0" w:space="0" w:color="auto"/>
              </w:divBdr>
              <w:divsChild>
                <w:div w:id="1317150790">
                  <w:marLeft w:val="0"/>
                  <w:marRight w:val="0"/>
                  <w:marTop w:val="0"/>
                  <w:marBottom w:val="0"/>
                  <w:divBdr>
                    <w:top w:val="none" w:sz="0" w:space="0" w:color="auto"/>
                    <w:left w:val="none" w:sz="0" w:space="0" w:color="auto"/>
                    <w:bottom w:val="none" w:sz="0" w:space="0" w:color="auto"/>
                    <w:right w:val="none" w:sz="0" w:space="0" w:color="auto"/>
                  </w:divBdr>
                  <w:divsChild>
                    <w:div w:id="1542552900">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 w:id="1844856581">
          <w:marLeft w:val="0"/>
          <w:marRight w:val="0"/>
          <w:marTop w:val="0"/>
          <w:marBottom w:val="0"/>
          <w:divBdr>
            <w:top w:val="none" w:sz="0" w:space="0" w:color="auto"/>
            <w:left w:val="none" w:sz="0" w:space="0" w:color="auto"/>
            <w:bottom w:val="none" w:sz="0" w:space="0" w:color="auto"/>
            <w:right w:val="none" w:sz="0" w:space="0" w:color="auto"/>
          </w:divBdr>
          <w:divsChild>
            <w:div w:id="1973559915">
              <w:marLeft w:val="0"/>
              <w:marRight w:val="0"/>
              <w:marTop w:val="0"/>
              <w:marBottom w:val="0"/>
              <w:divBdr>
                <w:top w:val="none" w:sz="0" w:space="0" w:color="auto"/>
                <w:left w:val="none" w:sz="0" w:space="0" w:color="auto"/>
                <w:bottom w:val="none" w:sz="0" w:space="0" w:color="auto"/>
                <w:right w:val="none" w:sz="0" w:space="0" w:color="auto"/>
              </w:divBdr>
              <w:divsChild>
                <w:div w:id="1536043224">
                  <w:marLeft w:val="0"/>
                  <w:marRight w:val="0"/>
                  <w:marTop w:val="0"/>
                  <w:marBottom w:val="0"/>
                  <w:divBdr>
                    <w:top w:val="none" w:sz="0" w:space="0" w:color="auto"/>
                    <w:left w:val="none" w:sz="0" w:space="0" w:color="auto"/>
                    <w:bottom w:val="none" w:sz="0" w:space="0" w:color="auto"/>
                    <w:right w:val="none" w:sz="0" w:space="0" w:color="auto"/>
                  </w:divBdr>
                  <w:divsChild>
                    <w:div w:id="1235966332">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hitehouse.gov/briefing-room/presidential-actions/2021/02/04/memorandum-advancing-the-human-rights-of-lesbian-gay-bisexual-transgender-queer-and-intersex-persons-around-the-world/"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hyperlink" Target="https://cloudburstgroup.com/wp-content/uploads/2021/11/LGBTQ-FLAG_SUPREME-COURT-scaled.jpg" TargetMode="External"/><Relationship Id="rId11" Type="http://schemas.openxmlformats.org/officeDocument/2006/relationships/hyperlink" Target="https://equalrightscenter.org/wp-content/uploads/senior_housing_report.pdf" TargetMode="External"/><Relationship Id="rId5" Type="http://schemas.openxmlformats.org/officeDocument/2006/relationships/hyperlink" Target="https://cloudburstgroup.com/2021/11/15/intersectionality-a-vital-tool-in-advancing-lgbtq-rights/" TargetMode="External"/><Relationship Id="rId15" Type="http://schemas.openxmlformats.org/officeDocument/2006/relationships/customXml" Target="../customXml/item2.xml"/><Relationship Id="rId10" Type="http://schemas.openxmlformats.org/officeDocument/2006/relationships/hyperlink" Target="https://www.americanprogress.org/issues/lgbt/reports/2018/08/13/454592/protecting-basic-living-standards-lgbtq-people/" TargetMode="External"/><Relationship Id="rId4" Type="http://schemas.openxmlformats.org/officeDocument/2006/relationships/webSettings" Target="webSettings.xml"/><Relationship Id="rId9" Type="http://schemas.openxmlformats.org/officeDocument/2006/relationships/hyperlink" Target="https://cdn.americanprogress.org/wp-content/uploads/issues/2009/07/pdf/lgbt_poverty.pdf" TargetMode="External"/><Relationship Id="rId14"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1dd2df499985b3805bf486035f8ecdda">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e8388f15f1726af0e23e5c8c1e8013cb"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9F0974B0-8CFA-49F6-AC11-0B3E61A54FA6}"/>
</file>

<file path=customXml/itemProps2.xml><?xml version="1.0" encoding="utf-8"?>
<ds:datastoreItem xmlns:ds="http://schemas.openxmlformats.org/officeDocument/2006/customXml" ds:itemID="{0A984528-D9A8-40B1-8C04-D4208202D899}"/>
</file>

<file path=customXml/itemProps3.xml><?xml version="1.0" encoding="utf-8"?>
<ds:datastoreItem xmlns:ds="http://schemas.openxmlformats.org/officeDocument/2006/customXml" ds:itemID="{0944FB35-5833-4B0C-819C-3357C631E287}"/>
</file>

<file path=docProps/app.xml><?xml version="1.0" encoding="utf-8"?>
<Properties xmlns="http://schemas.openxmlformats.org/officeDocument/2006/extended-properties" xmlns:vt="http://schemas.openxmlformats.org/officeDocument/2006/docPropsVTypes">
  <Template>Normal</Template>
  <TotalTime>3</TotalTime>
  <Pages>2</Pages>
  <Words>1066</Words>
  <Characters>6081</Characters>
  <Application>Microsoft Office Word</Application>
  <DocSecurity>0</DocSecurity>
  <Lines>50</Lines>
  <Paragraphs>14</Paragraphs>
  <ScaleCrop>false</ScaleCrop>
  <Company>NEA</Company>
  <LinksUpToDate>false</LinksUpToDate>
  <CharactersWithSpaces>7133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2022-08-09T14:47:00Z</dcterms:created>
  <dcterms:modified xsi:type="dcterms:W3CDTF">2022-08-09T14:50:00Z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