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A69A9" w:rsidRDefault="00EA69A9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</w:rPr>
      </w:pPr>
    </w:p>
    <w:p w14:paraId="00000002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b/>
          <w:bCs/>
          <w:sz w:val="24"/>
          <w:szCs w:val="24"/>
          <w:u w:val="single"/>
          <w:lang w:val="en-US"/>
        </w:rPr>
      </w:pPr>
      <w:r w:rsidRPr="091B3C02">
        <w:rPr>
          <w:rFonts w:ascii="Figtree" w:eastAsia="Figtree" w:hAnsi="Figtree" w:cs="Figtree"/>
          <w:b/>
          <w:bCs/>
          <w:sz w:val="24"/>
          <w:szCs w:val="24"/>
          <w:u w:val="single"/>
          <w:lang w:val="en-US"/>
        </w:rPr>
        <w:t xml:space="preserve">Let's Get Started! </w:t>
      </w:r>
    </w:p>
    <w:p w14:paraId="00000003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b/>
          <w:bCs/>
          <w:sz w:val="24"/>
          <w:szCs w:val="24"/>
          <w:u w:val="single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To receive Zoom links for each of the sessions in this </w:t>
      </w:r>
      <w:proofErr w:type="gramStart"/>
      <w:r w:rsidRPr="091B3C02">
        <w:rPr>
          <w:rFonts w:ascii="Figtree" w:eastAsia="Figtree" w:hAnsi="Figtree" w:cs="Figtree"/>
          <w:sz w:val="24"/>
          <w:szCs w:val="24"/>
          <w:lang w:val="en-US"/>
        </w:rPr>
        <w:t>6 part</w:t>
      </w:r>
      <w:proofErr w:type="gramEnd"/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series, you </w:t>
      </w:r>
      <w:proofErr w:type="gramStart"/>
      <w:r w:rsidRPr="091B3C02">
        <w:rPr>
          <w:rFonts w:ascii="Figtree" w:eastAsia="Figtree" w:hAnsi="Figtree" w:cs="Figtree"/>
          <w:sz w:val="24"/>
          <w:szCs w:val="24"/>
          <w:lang w:val="en-US"/>
        </w:rPr>
        <w:t>have to</w:t>
      </w:r>
      <w:proofErr w:type="gramEnd"/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be registered. </w:t>
      </w:r>
      <w:r w:rsidRPr="091B3C02">
        <w:rPr>
          <w:rFonts w:ascii="Figtree" w:eastAsia="Figtree" w:hAnsi="Figtree" w:cs="Figtree"/>
          <w:b/>
          <w:bCs/>
          <w:sz w:val="24"/>
          <w:szCs w:val="24"/>
          <w:u w:val="single"/>
          <w:lang w:val="en-US"/>
        </w:rPr>
        <w:t xml:space="preserve">Registration for this series requires the completion of 3 steps. </w:t>
      </w:r>
    </w:p>
    <w:p w14:paraId="00000004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b/>
          <w:bCs/>
          <w:color w:val="0563C1"/>
          <w:sz w:val="24"/>
          <w:szCs w:val="24"/>
          <w:highlight w:val="yellow"/>
          <w:u w:val="single"/>
          <w:lang w:val="en-US"/>
        </w:rPr>
      </w:pPr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 xml:space="preserve">Step </w:t>
      </w:r>
      <w:proofErr w:type="gramStart"/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>1 :</w:t>
      </w:r>
      <w:proofErr w:type="gramEnd"/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 xml:space="preserve"> </w:t>
      </w:r>
      <w:r w:rsidRPr="091B3C02">
        <w:rPr>
          <w:rFonts w:ascii="Figtree" w:eastAsia="Figtree" w:hAnsi="Figtree" w:cs="Figtree"/>
          <w:sz w:val="24"/>
          <w:szCs w:val="24"/>
          <w:highlight w:val="yellow"/>
          <w:lang w:val="en-US"/>
        </w:rPr>
        <w:t xml:space="preserve">You </w:t>
      </w:r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>must pre-register</w:t>
      </w:r>
      <w:r w:rsidRPr="091B3C02">
        <w:rPr>
          <w:rFonts w:ascii="Figtree" w:eastAsia="Figtree" w:hAnsi="Figtree" w:cs="Figtree"/>
          <w:sz w:val="24"/>
          <w:szCs w:val="24"/>
          <w:highlight w:val="yellow"/>
          <w:lang w:val="en-US"/>
        </w:rPr>
        <w:t xml:space="preserve"> with NEA’s Staff Learning Portal known as PEPS at the following link:  </w:t>
      </w:r>
      <w:hyperlink r:id="rId10">
        <w:r w:rsidRPr="091B3C02">
          <w:rPr>
            <w:rFonts w:ascii="Figtree" w:eastAsia="Figtree" w:hAnsi="Figtree" w:cs="Figtree"/>
            <w:b/>
            <w:bCs/>
            <w:color w:val="0563C1"/>
            <w:sz w:val="24"/>
            <w:szCs w:val="24"/>
            <w:highlight w:val="yellow"/>
            <w:u w:val="single"/>
            <w:lang w:val="en-US"/>
          </w:rPr>
          <w:t>https://neapartnera.learnupon.com/users/sign_in</w:t>
        </w:r>
      </w:hyperlink>
    </w:p>
    <w:p w14:paraId="00000005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</w:pPr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 xml:space="preserve">Step 2:  </w:t>
      </w:r>
      <w:r w:rsidRPr="091B3C02">
        <w:rPr>
          <w:rFonts w:ascii="Figtree" w:eastAsia="Figtree" w:hAnsi="Figtree" w:cs="Figtree"/>
          <w:sz w:val="24"/>
          <w:szCs w:val="24"/>
          <w:highlight w:val="yellow"/>
          <w:lang w:val="en-US"/>
        </w:rPr>
        <w:t xml:space="preserve">Once you have accomplished Step 1, select the Unique Course link for this session named </w:t>
      </w:r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>"HBCU and MSI Skills to Win,"</w:t>
      </w:r>
      <w:r w:rsidRPr="091B3C02">
        <w:rPr>
          <w:rFonts w:ascii="Figtree" w:eastAsia="Figtree" w:hAnsi="Figtree" w:cs="Figtree"/>
          <w:sz w:val="24"/>
          <w:szCs w:val="24"/>
          <w:highlight w:val="yellow"/>
          <w:lang w:val="en-US"/>
        </w:rPr>
        <w:t xml:space="preserve"> at the following link:</w:t>
      </w:r>
      <w:hyperlink r:id="rId11">
        <w:r w:rsidRPr="091B3C02">
          <w:rPr>
            <w:rFonts w:ascii="Figtree" w:eastAsia="Figtree" w:hAnsi="Figtree" w:cs="Figtree"/>
            <w:b/>
            <w:bCs/>
            <w:color w:val="1155CC"/>
            <w:sz w:val="24"/>
            <w:szCs w:val="24"/>
            <w:highlight w:val="yellow"/>
            <w:u w:val="single"/>
            <w:lang w:val="en-US"/>
          </w:rPr>
          <w:t>https://neapartnera.learnupon.com/content-details/4748404/0</w:t>
        </w:r>
      </w:hyperlink>
      <w:r w:rsidRPr="091B3C02">
        <w:rPr>
          <w:rFonts w:ascii="Figtree" w:eastAsia="Figtree" w:hAnsi="Figtree" w:cs="Figtree"/>
          <w:b/>
          <w:bCs/>
          <w:sz w:val="24"/>
          <w:szCs w:val="24"/>
          <w:highlight w:val="yellow"/>
          <w:lang w:val="en-US"/>
        </w:rPr>
        <w:t xml:space="preserve">, </w:t>
      </w:r>
    </w:p>
    <w:p w14:paraId="00000006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sz w:val="24"/>
          <w:szCs w:val="24"/>
          <w:highlight w:val="yellow"/>
        </w:rPr>
      </w:pPr>
      <w:r>
        <w:rPr>
          <w:rFonts w:ascii="Figtree" w:eastAsia="Figtree" w:hAnsi="Figtree" w:cs="Figtree"/>
          <w:b/>
          <w:sz w:val="24"/>
          <w:szCs w:val="24"/>
          <w:highlight w:val="yellow"/>
        </w:rPr>
        <w:t>Step 3</w:t>
      </w:r>
      <w:r>
        <w:rPr>
          <w:rFonts w:ascii="Figtree" w:eastAsia="Figtree" w:hAnsi="Figtree" w:cs="Figtree"/>
          <w:sz w:val="24"/>
          <w:szCs w:val="24"/>
          <w:highlight w:val="yellow"/>
        </w:rPr>
        <w:t>: Select the button on the left of the screen that says. “</w:t>
      </w:r>
      <w:r>
        <w:rPr>
          <w:rFonts w:ascii="Figtree" w:eastAsia="Figtree" w:hAnsi="Figtree" w:cs="Figtree"/>
          <w:b/>
          <w:sz w:val="24"/>
          <w:szCs w:val="24"/>
          <w:highlight w:val="yellow"/>
        </w:rPr>
        <w:t>Enroll</w:t>
      </w:r>
      <w:r>
        <w:rPr>
          <w:rFonts w:ascii="Figtree" w:eastAsia="Figtree" w:hAnsi="Figtree" w:cs="Figtree"/>
          <w:sz w:val="24"/>
          <w:szCs w:val="24"/>
          <w:highlight w:val="yellow"/>
        </w:rPr>
        <w:t xml:space="preserve">.”  </w:t>
      </w:r>
    </w:p>
    <w:p w14:paraId="00000007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By completing steps 1-3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, you can now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access the materials &amp; Zoom links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for each of the sessions. It is recommended that you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 xml:space="preserve">save or bookmark the NEA </w:t>
      </w:r>
      <w:proofErr w:type="spellStart"/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LearnUpon</w:t>
      </w:r>
      <w:proofErr w:type="spellEnd"/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site to access materials &amp; Zoom links.</w:t>
      </w:r>
    </w:p>
    <w:p w14:paraId="00000008" w14:textId="77777777" w:rsidR="00EA69A9" w:rsidRDefault="00EA69A9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  <w:u w:val="single"/>
        </w:rPr>
      </w:pPr>
    </w:p>
    <w:p w14:paraId="00000009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  <w:u w:val="single"/>
        </w:rPr>
      </w:pPr>
      <w:r>
        <w:rPr>
          <w:rFonts w:ascii="Figtree" w:eastAsia="Figtree" w:hAnsi="Figtree" w:cs="Figtree"/>
          <w:b/>
          <w:sz w:val="24"/>
          <w:szCs w:val="24"/>
          <w:u w:val="single"/>
        </w:rPr>
        <w:t>Modules:</w:t>
      </w:r>
    </w:p>
    <w:p w14:paraId="0000000A" w14:textId="77777777" w:rsidR="00EA69A9" w:rsidRDefault="00831F4F" w:rsidP="091B3C02">
      <w:pPr>
        <w:numPr>
          <w:ilvl w:val="0"/>
          <w:numId w:val="1"/>
        </w:numPr>
        <w:shd w:val="clear" w:color="auto" w:fill="FFFFFF" w:themeFill="background1"/>
        <w:spacing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Once you enroll, the course will open to a detailed description.  You will also see a listing of the modules on the left-hand navigation window. </w:t>
      </w:r>
    </w:p>
    <w:p w14:paraId="0000000B" w14:textId="77777777" w:rsidR="00EA69A9" w:rsidRDefault="00831F4F">
      <w:pPr>
        <w:numPr>
          <w:ilvl w:val="0"/>
          <w:numId w:val="1"/>
        </w:numPr>
        <w:shd w:val="clear" w:color="auto" w:fill="FFFFFF"/>
        <w:spacing w:line="331" w:lineRule="auto"/>
        <w:rPr>
          <w:rFonts w:ascii="Figtree" w:eastAsia="Figtree" w:hAnsi="Figtree" w:cs="Figtree"/>
          <w:sz w:val="24"/>
          <w:szCs w:val="24"/>
          <w:highlight w:val="yellow"/>
        </w:rPr>
      </w:pPr>
      <w:r>
        <w:rPr>
          <w:rFonts w:ascii="Figtree" w:eastAsia="Figtree" w:hAnsi="Figtree" w:cs="Figtree"/>
          <w:sz w:val="24"/>
          <w:szCs w:val="24"/>
          <w:highlight w:val="yellow"/>
        </w:rPr>
        <w:t>Review “Community Agreements for Our Time” before the first session</w:t>
      </w:r>
    </w:p>
    <w:p w14:paraId="0000000C" w14:textId="77777777" w:rsidR="00EA69A9" w:rsidRDefault="00831F4F">
      <w:pPr>
        <w:numPr>
          <w:ilvl w:val="0"/>
          <w:numId w:val="1"/>
        </w:numPr>
        <w:shd w:val="clear" w:color="auto" w:fill="FFFFFF"/>
        <w:spacing w:after="160" w:line="331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Figtree" w:eastAsia="Figtree" w:hAnsi="Figtree" w:cs="Figtree"/>
          <w:sz w:val="24"/>
          <w:szCs w:val="24"/>
        </w:rPr>
        <w:t xml:space="preserve">The modules, </w:t>
      </w:r>
      <w:r>
        <w:rPr>
          <w:rFonts w:ascii="Figtree" w:eastAsia="Figtree" w:hAnsi="Figtree" w:cs="Figtree"/>
          <w:b/>
          <w:sz w:val="24"/>
          <w:szCs w:val="24"/>
        </w:rPr>
        <w:t>Participant Resources, Centering Equity in Your Campaign, HBCU and MSI Campaign Cycle Planning</w:t>
      </w:r>
      <w:r>
        <w:rPr>
          <w:rFonts w:ascii="Figtree" w:eastAsia="Figtree" w:hAnsi="Figtree" w:cs="Figtree"/>
          <w:sz w:val="24"/>
          <w:szCs w:val="24"/>
        </w:rPr>
        <w:t xml:space="preserve">, </w:t>
      </w:r>
      <w:r>
        <w:rPr>
          <w:rFonts w:ascii="Figtree" w:eastAsia="Figtree" w:hAnsi="Figtree" w:cs="Figtree"/>
          <w:b/>
          <w:sz w:val="24"/>
          <w:szCs w:val="24"/>
        </w:rPr>
        <w:t xml:space="preserve">Additional Resources, </w:t>
      </w:r>
      <w:r>
        <w:rPr>
          <w:rFonts w:ascii="Figtree" w:eastAsia="Figtree" w:hAnsi="Figtree" w:cs="Figtree"/>
          <w:sz w:val="24"/>
          <w:szCs w:val="24"/>
        </w:rPr>
        <w:t>and</w:t>
      </w:r>
      <w:r>
        <w:rPr>
          <w:rFonts w:ascii="Figtree" w:eastAsia="Figtree" w:hAnsi="Figtree" w:cs="Figtree"/>
          <w:b/>
          <w:sz w:val="24"/>
          <w:szCs w:val="24"/>
        </w:rPr>
        <w:t xml:space="preserve"> Session PPTs </w:t>
      </w:r>
      <w:r>
        <w:rPr>
          <w:rFonts w:ascii="Figtree" w:eastAsia="Figtree" w:hAnsi="Figtree" w:cs="Figtree"/>
          <w:sz w:val="24"/>
          <w:szCs w:val="24"/>
        </w:rPr>
        <w:t>each have descriptions for how they are to be used and will be updated throughout our time together.</w:t>
      </w:r>
    </w:p>
    <w:p w14:paraId="0000000D" w14:textId="77777777" w:rsidR="00EA69A9" w:rsidRDefault="00EA69A9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  <w:highlight w:val="yellow"/>
          <w:u w:val="single"/>
        </w:rPr>
      </w:pPr>
    </w:p>
    <w:p w14:paraId="0000000E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  <w:highlight w:val="yellow"/>
          <w:u w:val="single"/>
        </w:rPr>
      </w:pPr>
      <w:r>
        <w:rPr>
          <w:rFonts w:ascii="Figtree" w:eastAsia="Figtree" w:hAnsi="Figtree" w:cs="Figtree"/>
          <w:b/>
          <w:sz w:val="24"/>
          <w:szCs w:val="24"/>
          <w:highlight w:val="yellow"/>
          <w:u w:val="single"/>
        </w:rPr>
        <w:t>Zoom links:</w:t>
      </w:r>
    </w:p>
    <w:p w14:paraId="0000000F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highlight w:val="yellow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highlight w:val="yellow"/>
          <w:lang w:val="en-US"/>
        </w:rPr>
        <w:t>You will find the specific Zoom links for each of the sessions in the module titled, “HBCU and MSI Skills to Win”.</w:t>
      </w:r>
    </w:p>
    <w:p w14:paraId="00000010" w14:textId="77777777" w:rsidR="00EA69A9" w:rsidRDefault="00EA69A9">
      <w:pPr>
        <w:shd w:val="clear" w:color="auto" w:fill="FFFFFF"/>
        <w:spacing w:after="160" w:line="331" w:lineRule="auto"/>
        <w:rPr>
          <w:rFonts w:ascii="Figtree" w:eastAsia="Figtree" w:hAnsi="Figtree" w:cs="Figtree"/>
          <w:sz w:val="24"/>
          <w:szCs w:val="24"/>
        </w:rPr>
      </w:pPr>
    </w:p>
    <w:p w14:paraId="00000011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  <w:u w:val="single"/>
        </w:rPr>
      </w:pPr>
      <w:r>
        <w:rPr>
          <w:rFonts w:ascii="Figtree" w:eastAsia="Figtree" w:hAnsi="Figtree" w:cs="Figtree"/>
          <w:b/>
          <w:sz w:val="24"/>
          <w:szCs w:val="24"/>
          <w:u w:val="single"/>
        </w:rPr>
        <w:lastRenderedPageBreak/>
        <w:t>Trouble Shooting</w:t>
      </w:r>
    </w:p>
    <w:p w14:paraId="00000012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If you experience issues, do not email Ellen until you have completed ALL the troubleshooting steps below. Then, if you need additional help after completing the troubleshooting below, Email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both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</w:t>
      </w:r>
      <w:proofErr w:type="gramStart"/>
      <w:r w:rsidRPr="091B3C02">
        <w:rPr>
          <w:rFonts w:ascii="Figtree" w:eastAsia="Figtree" w:hAnsi="Figtree" w:cs="Figtree"/>
          <w:color w:val="0563C1"/>
          <w:sz w:val="24"/>
          <w:szCs w:val="24"/>
          <w:u w:val="single"/>
          <w:lang w:val="en-US"/>
        </w:rPr>
        <w:t>neahqhelp@nea.org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 and</w:t>
      </w:r>
      <w:proofErr w:type="gramEnd"/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</w:t>
      </w:r>
      <w:proofErr w:type="gramStart"/>
      <w:r w:rsidRPr="091B3C02">
        <w:rPr>
          <w:rFonts w:ascii="Figtree" w:eastAsia="Figtree" w:hAnsi="Figtree" w:cs="Figtree"/>
          <w:color w:val="0563C1"/>
          <w:sz w:val="24"/>
          <w:szCs w:val="24"/>
          <w:u w:val="single"/>
          <w:lang w:val="en-US"/>
        </w:rPr>
        <w:t>eholmes@nea.org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with</w:t>
      </w:r>
      <w:proofErr w:type="gramEnd"/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 xml:space="preserve"> a description and screenshots 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>of the error you are receiving.  It is nearly impossible to help you without those.</w:t>
      </w:r>
    </w:p>
    <w:p w14:paraId="00000013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sz w:val="24"/>
          <w:szCs w:val="24"/>
        </w:rPr>
      </w:pPr>
      <w:r>
        <w:rPr>
          <w:rFonts w:ascii="Figtree" w:eastAsia="Figtree" w:hAnsi="Figtree" w:cs="Figtree"/>
          <w:sz w:val="24"/>
          <w:szCs w:val="24"/>
        </w:rPr>
        <w:t xml:space="preserve"> </w:t>
      </w:r>
    </w:p>
    <w:p w14:paraId="00000014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b/>
          <w:sz w:val="24"/>
          <w:szCs w:val="24"/>
        </w:rPr>
      </w:pPr>
      <w:r>
        <w:rPr>
          <w:rFonts w:ascii="Figtree" w:eastAsia="Figtree" w:hAnsi="Figtree" w:cs="Figtree"/>
          <w:b/>
          <w:sz w:val="24"/>
          <w:szCs w:val="24"/>
          <w:u w:val="single"/>
        </w:rPr>
        <w:t>Registration for PEPs Troubleshooting:</w:t>
      </w:r>
      <w:r>
        <w:rPr>
          <w:rFonts w:ascii="Figtree" w:eastAsia="Figtree" w:hAnsi="Figtree" w:cs="Figtree"/>
          <w:b/>
          <w:sz w:val="24"/>
          <w:szCs w:val="24"/>
        </w:rPr>
        <w:t xml:space="preserve"> </w:t>
      </w:r>
    </w:p>
    <w:p w14:paraId="00000015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If you receive an </w:t>
      </w:r>
      <w:r w:rsidRPr="091B3C02">
        <w:rPr>
          <w:rFonts w:ascii="Figtree" w:eastAsia="Figtree" w:hAnsi="Figtree" w:cs="Figtree"/>
          <w:i/>
          <w:iCs/>
          <w:sz w:val="24"/>
          <w:szCs w:val="24"/>
          <w:lang w:val="en-US"/>
        </w:rPr>
        <w:t>invalid email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or </w:t>
      </w:r>
      <w:r w:rsidRPr="091B3C02">
        <w:rPr>
          <w:rFonts w:ascii="Figtree" w:eastAsia="Figtree" w:hAnsi="Figtree" w:cs="Figtree"/>
          <w:i/>
          <w:iCs/>
          <w:sz w:val="24"/>
          <w:szCs w:val="24"/>
          <w:lang w:val="en-US"/>
        </w:rPr>
        <w:t>email in use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message, that means that you are registered in another portal on our system. For example, Minnesota has a portal as part of our system and if you are a MN staff person, you might be registered in the MN portal with that email. About 21 States have a portal such as this. The solution is to register as a new user in this new portal with the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same email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and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password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you use in the original portal. Then, since both portals use the same credentials, you can log into one and have access to the other via a handy little toggle in the upper right corner of the screen called “the portal switcher”. It looks like a little 3-legged spider.</w:t>
      </w:r>
    </w:p>
    <w:p w14:paraId="00000016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sz w:val="24"/>
          <w:szCs w:val="24"/>
        </w:rPr>
      </w:pPr>
      <w:r>
        <w:rPr>
          <w:rFonts w:ascii="Figtree" w:eastAsia="Figtree" w:hAnsi="Figtree" w:cs="Figtree"/>
          <w:sz w:val="24"/>
          <w:szCs w:val="24"/>
        </w:rPr>
        <w:t xml:space="preserve">Do one of the following:  </w:t>
      </w:r>
    </w:p>
    <w:p w14:paraId="00000017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•  </w:t>
      </w:r>
      <w:r>
        <w:tab/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</w:t>
      </w:r>
      <w:r w:rsidRPr="091B3C02">
        <w:rPr>
          <w:rFonts w:ascii="Figtree" w:eastAsia="Figtree" w:hAnsi="Figtree" w:cs="Figtree"/>
          <w:sz w:val="24"/>
          <w:szCs w:val="24"/>
          <w:u w:val="single"/>
          <w:lang w:val="en-US"/>
        </w:rPr>
        <w:t>If you can’t recall your password in the original portal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, you can go to that portal and request a password reset. Once you’ve created a new password for the original portal, go to the new portal and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 xml:space="preserve">register as a user 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with that same email and that same password. </w:t>
      </w:r>
    </w:p>
    <w:p w14:paraId="00000018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• </w:t>
      </w:r>
      <w:r>
        <w:tab/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</w:t>
      </w:r>
      <w:r w:rsidRPr="091B3C02">
        <w:rPr>
          <w:rFonts w:ascii="Figtree" w:eastAsia="Figtree" w:hAnsi="Figtree" w:cs="Figtree"/>
          <w:sz w:val="24"/>
          <w:szCs w:val="24"/>
          <w:u w:val="single"/>
          <w:lang w:val="en-US"/>
        </w:rPr>
        <w:t>If you know your password for the original portal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, you can use that same email and that same password to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register as a user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in the new portal. Then you’ll have a single log-in and have access to both. </w:t>
      </w:r>
    </w:p>
    <w:p w14:paraId="00000019" w14:textId="77777777" w:rsidR="00EA69A9" w:rsidRDefault="00831F4F">
      <w:pPr>
        <w:shd w:val="clear" w:color="auto" w:fill="FFFFFF"/>
        <w:spacing w:after="160" w:line="331" w:lineRule="auto"/>
        <w:rPr>
          <w:rFonts w:ascii="Figtree" w:eastAsia="Figtree" w:hAnsi="Figtree" w:cs="Figtree"/>
          <w:sz w:val="24"/>
          <w:szCs w:val="24"/>
        </w:rPr>
      </w:pPr>
      <w:r>
        <w:rPr>
          <w:rFonts w:ascii="Figtree" w:eastAsia="Figtree" w:hAnsi="Figtree" w:cs="Figtree"/>
          <w:sz w:val="24"/>
          <w:szCs w:val="24"/>
        </w:rPr>
        <w:t xml:space="preserve"> </w:t>
      </w:r>
    </w:p>
    <w:p w14:paraId="0000001A" w14:textId="77777777" w:rsidR="00EA69A9" w:rsidRDefault="00831F4F" w:rsidP="091B3C02">
      <w:pPr>
        <w:shd w:val="clear" w:color="auto" w:fill="FFFFFF" w:themeFill="background1"/>
        <w:spacing w:after="160" w:line="331" w:lineRule="auto"/>
        <w:rPr>
          <w:rFonts w:ascii="Figtree" w:eastAsia="Figtree" w:hAnsi="Figtree" w:cs="Figtree"/>
          <w:sz w:val="24"/>
          <w:szCs w:val="24"/>
          <w:lang w:val="en-US"/>
        </w:rPr>
      </w:pPr>
      <w:r w:rsidRPr="091B3C02">
        <w:rPr>
          <w:rFonts w:ascii="Figtree" w:eastAsia="Figtree" w:hAnsi="Figtree" w:cs="Figtree"/>
          <w:sz w:val="24"/>
          <w:szCs w:val="24"/>
          <w:lang w:val="en-US"/>
        </w:rPr>
        <w:t>If you receive a “</w:t>
      </w:r>
      <w:r w:rsidRPr="091B3C02">
        <w:rPr>
          <w:rFonts w:ascii="Figtree" w:eastAsia="Figtree" w:hAnsi="Figtree" w:cs="Figtree"/>
          <w:i/>
          <w:iCs/>
          <w:sz w:val="24"/>
          <w:szCs w:val="24"/>
          <w:lang w:val="en-US"/>
        </w:rPr>
        <w:t>resource not available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” message when you select the course link, that means that you do not have the appropriate permissions to access the course and your account needs to be adjusted.  Email </w:t>
      </w:r>
      <w:r w:rsidRPr="091B3C02">
        <w:rPr>
          <w:rFonts w:ascii="Figtree" w:eastAsia="Figtree" w:hAnsi="Figtree" w:cs="Figtree"/>
          <w:b/>
          <w:bCs/>
          <w:sz w:val="24"/>
          <w:szCs w:val="24"/>
          <w:lang w:val="en-US"/>
        </w:rPr>
        <w:t>BOTH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</w:t>
      </w:r>
      <w:r w:rsidRPr="091B3C02">
        <w:rPr>
          <w:rFonts w:ascii="Figtree" w:eastAsia="Figtree" w:hAnsi="Figtree" w:cs="Figtree"/>
          <w:color w:val="0563C1"/>
          <w:sz w:val="24"/>
          <w:szCs w:val="24"/>
          <w:u w:val="single"/>
          <w:lang w:val="en-US"/>
        </w:rPr>
        <w:t>neahqhelp@nea.org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 and Ellen Holmes </w:t>
      </w:r>
      <w:r w:rsidRPr="091B3C02">
        <w:rPr>
          <w:rFonts w:ascii="Figtree" w:eastAsia="Figtree" w:hAnsi="Figtree" w:cs="Figtree"/>
          <w:color w:val="0563C1"/>
          <w:sz w:val="24"/>
          <w:szCs w:val="24"/>
          <w:u w:val="single"/>
          <w:lang w:val="en-US"/>
        </w:rPr>
        <w:t>eholmes@nea.org</w:t>
      </w:r>
      <w:r w:rsidRPr="091B3C02">
        <w:rPr>
          <w:rFonts w:ascii="Figtree" w:eastAsia="Figtree" w:hAnsi="Figtree" w:cs="Figtree"/>
          <w:sz w:val="24"/>
          <w:szCs w:val="24"/>
          <w:u w:val="single"/>
          <w:lang w:val="en-US"/>
        </w:rPr>
        <w:t xml:space="preserve"> </w:t>
      </w:r>
      <w:r w:rsidRPr="091B3C02">
        <w:rPr>
          <w:rFonts w:ascii="Figtree" w:eastAsia="Figtree" w:hAnsi="Figtree" w:cs="Figtree"/>
          <w:sz w:val="24"/>
          <w:szCs w:val="24"/>
          <w:lang w:val="en-US"/>
        </w:rPr>
        <w:t xml:space="preserve">to get help.  </w:t>
      </w:r>
    </w:p>
    <w:p w14:paraId="0000001B" w14:textId="77777777" w:rsidR="00EA69A9" w:rsidRDefault="00EA69A9">
      <w:pPr>
        <w:rPr>
          <w:rFonts w:ascii="Figtree" w:eastAsia="Figtree" w:hAnsi="Figtree" w:cs="Figtree"/>
        </w:rPr>
      </w:pPr>
    </w:p>
    <w:sectPr w:rsidR="00EA69A9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49B69" w14:textId="77777777" w:rsidR="003D0B3A" w:rsidRDefault="003D0B3A">
      <w:pPr>
        <w:spacing w:line="240" w:lineRule="auto"/>
      </w:pPr>
      <w:r>
        <w:separator/>
      </w:r>
    </w:p>
  </w:endnote>
  <w:endnote w:type="continuationSeparator" w:id="0">
    <w:p w14:paraId="407AFD82" w14:textId="77777777" w:rsidR="003D0B3A" w:rsidRDefault="003D0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">
    <w:charset w:val="00"/>
    <w:family w:val="auto"/>
    <w:pitch w:val="default"/>
    <w:embedRegular r:id="rId1" w:fontKey="{D04C90D8-17EE-4772-8FEE-A808D60111F0}"/>
    <w:embedBold r:id="rId2" w:fontKey="{B47593DF-C3FB-4810-BC38-904117311A8D}"/>
    <w:embedItalic r:id="rId3" w:fontKey="{A4018D58-63E7-40EF-9DAE-B0DFAF2742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70D7F91-2A45-4DA0-B8DB-2DE86B7E28E6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5" w:fontKey="{F3510BDD-BA50-47AA-806F-7A953F14E0A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33B86F5-3244-499D-A5B8-EA3F9A86B4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EA69A9" w:rsidRDefault="00EA69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85BA" w14:textId="77777777" w:rsidR="003D0B3A" w:rsidRDefault="003D0B3A">
      <w:pPr>
        <w:spacing w:line="240" w:lineRule="auto"/>
      </w:pPr>
      <w:r>
        <w:separator/>
      </w:r>
    </w:p>
  </w:footnote>
  <w:footnote w:type="continuationSeparator" w:id="0">
    <w:p w14:paraId="6B21190D" w14:textId="77777777" w:rsidR="003D0B3A" w:rsidRDefault="003D0B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EA69A9" w:rsidRDefault="00EA69A9">
    <w:pPr>
      <w:rPr>
        <w:rFonts w:ascii="Anton" w:eastAsia="Anton" w:hAnsi="Anton" w:cs="Anton"/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EA69A9" w:rsidRDefault="00831F4F">
    <w:r>
      <w:rPr>
        <w:rFonts w:ascii="Anton" w:eastAsia="Anton" w:hAnsi="Anton" w:cs="Anton"/>
        <w:sz w:val="36"/>
        <w:szCs w:val="36"/>
      </w:rPr>
      <w:t>HBCU Skills to Win Directions to Register &amp; Receive Zoom Links: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B183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160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A9"/>
    <w:rsid w:val="003100A6"/>
    <w:rsid w:val="00381A83"/>
    <w:rsid w:val="003D0B3A"/>
    <w:rsid w:val="00831F4F"/>
    <w:rsid w:val="00D13A48"/>
    <w:rsid w:val="00E25278"/>
    <w:rsid w:val="00EA69A9"/>
    <w:rsid w:val="091B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7CAFB"/>
  <w15:docId w15:val="{40D190B2-665E-4016-9824-C38B4E80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eapartnera.learnupon.com/content-details/4748404/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neapartnera.learnupon.com/users/sign_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E3E4EC7-FAE8-4A25-B008-1CED895B1D56}"/>
</file>

<file path=customXml/itemProps2.xml><?xml version="1.0" encoding="utf-8"?>
<ds:datastoreItem xmlns:ds="http://schemas.openxmlformats.org/officeDocument/2006/customXml" ds:itemID="{55189158-734D-4D70-AC6E-D13F09C61D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FF2E32-5D80-43E4-847B-35190EB8CBF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556</Words>
  <Characters>2716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3</cp:revision>
  <dcterms:created xsi:type="dcterms:W3CDTF">2025-11-13T20:30:00Z</dcterms:created>
  <dcterms:modified xsi:type="dcterms:W3CDTF">2026-01-20T20:25:00Z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