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B12" w:rsidRPr="006E3B12" w:rsidRDefault="006E3B12" w:rsidP="006E3B12">
      <w:pPr>
        <w:shd w:val="clear" w:color="auto" w:fill="FFFFFF"/>
        <w:spacing w:after="120" w:line="240" w:lineRule="auto"/>
        <w:outlineLvl w:val="0"/>
        <w:rPr>
          <w:rFonts w:ascii="Georgia" w:eastAsia="Times New Roman" w:hAnsi="Georgia" w:cs="Times New Roman"/>
          <w:b/>
          <w:bCs/>
          <w:color w:val="000000"/>
          <w:kern w:val="36"/>
          <w:sz w:val="45"/>
          <w:szCs w:val="45"/>
        </w:rPr>
      </w:pPr>
      <w:r w:rsidRPr="006E3B12">
        <w:rPr>
          <w:rFonts w:ascii="Georgia" w:eastAsia="Times New Roman" w:hAnsi="Georgia" w:cs="Times New Roman"/>
          <w:b/>
          <w:bCs/>
          <w:color w:val="000000"/>
          <w:kern w:val="36"/>
          <w:sz w:val="45"/>
          <w:szCs w:val="45"/>
        </w:rPr>
        <w:t>Five Ways to Research a Living Wage</w:t>
      </w:r>
    </w:p>
    <w:p w:rsidR="006E3B12" w:rsidRPr="006E3B12" w:rsidRDefault="006E3B12" w:rsidP="006E3B12">
      <w:pPr>
        <w:shd w:val="clear" w:color="auto" w:fill="FFFFFF"/>
        <w:spacing w:after="180" w:line="240" w:lineRule="auto"/>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 xml:space="preserve">A living wage can enable an education support professional (ESP) to survive on one full-time job, without support from relatives or government agencies, and have time left over for a real personal and family life. A living wage is sufficient to pay for the basic needs in a given community — including food, housing, transportation, health care, </w:t>
      </w:r>
      <w:proofErr w:type="gramStart"/>
      <w:r w:rsidRPr="006E3B12">
        <w:rPr>
          <w:rFonts w:ascii="Georgia" w:eastAsia="Times New Roman" w:hAnsi="Georgia" w:cs="Times New Roman"/>
          <w:color w:val="3D3D3D"/>
          <w:sz w:val="21"/>
          <w:szCs w:val="21"/>
        </w:rPr>
        <w:t>child care</w:t>
      </w:r>
      <w:proofErr w:type="gramEnd"/>
      <w:r w:rsidRPr="006E3B12">
        <w:rPr>
          <w:rFonts w:ascii="Georgia" w:eastAsia="Times New Roman" w:hAnsi="Georgia" w:cs="Times New Roman"/>
          <w:color w:val="3D3D3D"/>
          <w:sz w:val="21"/>
          <w:szCs w:val="21"/>
        </w:rPr>
        <w:t>, clothing, taxes, personal necessities, and even some modest savings.</w:t>
      </w:r>
    </w:p>
    <w:p w:rsidR="006E3B12" w:rsidRPr="006E3B12" w:rsidRDefault="006E3B12" w:rsidP="006E3B12">
      <w:pPr>
        <w:shd w:val="clear" w:color="auto" w:fill="FFFFFF"/>
        <w:spacing w:after="180" w:line="240" w:lineRule="auto"/>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A “basic needs budget” is the total of these expenses, calculated monthly and adjusted according to family size, work status of adults in the household, and regional variations in costs. Using estimates of a monthly living wage, Association bargainers/lobbyists can break the numbers down to several different hourly wage figures, reflecting the length of the ESP workday, workweek, and school year.</w:t>
      </w:r>
    </w:p>
    <w:p w:rsidR="006E3B12" w:rsidRPr="006E3B12" w:rsidRDefault="006E3B12" w:rsidP="006E3B12">
      <w:pPr>
        <w:shd w:val="clear" w:color="auto" w:fill="FFFFFF"/>
        <w:spacing w:after="180" w:line="240" w:lineRule="auto"/>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You can research an area living wage on your own. Here are ways to start:</w:t>
      </w:r>
    </w:p>
    <w:p w:rsidR="006E3B12" w:rsidRPr="006E3B12" w:rsidRDefault="006E3B12" w:rsidP="006E3B12">
      <w:pPr>
        <w:numPr>
          <w:ilvl w:val="0"/>
          <w:numId w:val="1"/>
        </w:numPr>
        <w:shd w:val="clear" w:color="auto" w:fill="FFFFFF"/>
        <w:spacing w:after="240" w:line="240" w:lineRule="auto"/>
        <w:ind w:left="0"/>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Go online for </w:t>
      </w:r>
      <w:hyperlink r:id="rId5" w:history="1">
        <w:r w:rsidRPr="006E3B12">
          <w:rPr>
            <w:rFonts w:ascii="Georgia" w:eastAsia="Times New Roman" w:hAnsi="Georgia" w:cs="Times New Roman"/>
            <w:color w:val="757632"/>
            <w:sz w:val="21"/>
            <w:szCs w:val="21"/>
            <w:u w:val="single"/>
          </w:rPr>
          <w:t>living wage calculators</w:t>
        </w:r>
      </w:hyperlink>
      <w:r w:rsidRPr="006E3B12">
        <w:rPr>
          <w:rFonts w:ascii="Georgia" w:eastAsia="Times New Roman" w:hAnsi="Georgia" w:cs="Times New Roman"/>
          <w:color w:val="3D3D3D"/>
          <w:sz w:val="21"/>
          <w:szCs w:val="21"/>
        </w:rPr>
        <w:t> and other resources.</w:t>
      </w:r>
    </w:p>
    <w:p w:rsidR="006E3B12" w:rsidRPr="006E3B12" w:rsidRDefault="006E3B12" w:rsidP="006E3B12">
      <w:pPr>
        <w:numPr>
          <w:ilvl w:val="0"/>
          <w:numId w:val="1"/>
        </w:numPr>
        <w:shd w:val="clear" w:color="auto" w:fill="FFFFFF"/>
        <w:spacing w:after="240" w:line="240" w:lineRule="auto"/>
        <w:ind w:left="0"/>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 xml:space="preserve">Do some research with the help of a local credit union, an area college or university, or a non-profit organization working on economic policy </w:t>
      </w:r>
      <w:proofErr w:type="gramStart"/>
      <w:r w:rsidRPr="006E3B12">
        <w:rPr>
          <w:rFonts w:ascii="Georgia" w:eastAsia="Times New Roman" w:hAnsi="Georgia" w:cs="Times New Roman"/>
          <w:color w:val="3D3D3D"/>
          <w:sz w:val="21"/>
          <w:szCs w:val="21"/>
        </w:rPr>
        <w:t>issues.</w:t>
      </w:r>
      <w:proofErr w:type="gramEnd"/>
    </w:p>
    <w:p w:rsidR="006E3B12" w:rsidRPr="006E3B12" w:rsidRDefault="006E3B12" w:rsidP="006E3B12">
      <w:pPr>
        <w:numPr>
          <w:ilvl w:val="0"/>
          <w:numId w:val="1"/>
        </w:numPr>
        <w:shd w:val="clear" w:color="auto" w:fill="FFFFFF"/>
        <w:spacing w:after="240" w:line="240" w:lineRule="auto"/>
        <w:ind w:left="0"/>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Look for “self-sufficiency standards” and housing costs on the Web site of a state agency that administers social assistance programs.</w:t>
      </w:r>
    </w:p>
    <w:p w:rsidR="006E3B12" w:rsidRPr="006E3B12" w:rsidRDefault="006E3B12" w:rsidP="006E3B12">
      <w:pPr>
        <w:numPr>
          <w:ilvl w:val="0"/>
          <w:numId w:val="1"/>
        </w:numPr>
        <w:shd w:val="clear" w:color="auto" w:fill="FFFFFF"/>
        <w:spacing w:after="240" w:line="240" w:lineRule="auto"/>
        <w:ind w:left="0"/>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Find out if your state government establishes a living wage figure on a regular basis. If so, adjust it for an ESP work schedule.</w:t>
      </w:r>
    </w:p>
    <w:p w:rsidR="006E3B12" w:rsidRPr="006E3B12" w:rsidRDefault="006E3B12" w:rsidP="006E3B12">
      <w:pPr>
        <w:numPr>
          <w:ilvl w:val="0"/>
          <w:numId w:val="1"/>
        </w:numPr>
        <w:shd w:val="clear" w:color="auto" w:fill="FFFFFF"/>
        <w:spacing w:after="90" w:line="240" w:lineRule="auto"/>
        <w:ind w:left="0"/>
        <w:rPr>
          <w:rFonts w:ascii="Georgia" w:eastAsia="Times New Roman" w:hAnsi="Georgia" w:cs="Times New Roman"/>
          <w:color w:val="3D3D3D"/>
          <w:sz w:val="21"/>
          <w:szCs w:val="21"/>
        </w:rPr>
      </w:pPr>
      <w:r w:rsidRPr="006E3B12">
        <w:rPr>
          <w:rFonts w:ascii="Georgia" w:eastAsia="Times New Roman" w:hAnsi="Georgia" w:cs="Times New Roman"/>
          <w:color w:val="3D3D3D"/>
          <w:sz w:val="21"/>
          <w:szCs w:val="21"/>
        </w:rPr>
        <w:t>Devise expenditure categories for a living wage, and have a representative group of ESP members in your local track their monthly expenditures in each of those categories. Then compute average costs.</w:t>
      </w:r>
    </w:p>
    <w:p w:rsidR="00E04C9E" w:rsidRDefault="00E04C9E"/>
    <w:p w:rsidR="00245681" w:rsidRDefault="00245681"/>
    <w:p w:rsidR="00245681" w:rsidRDefault="00245681" w:rsidP="00245681">
      <w:pPr>
        <w:pStyle w:val="Heading3"/>
        <w:shd w:val="clear" w:color="auto" w:fill="FFFFFF"/>
        <w:spacing w:before="0" w:after="150"/>
        <w:rPr>
          <w:rFonts w:ascii="Georgia" w:hAnsi="Georgia"/>
          <w:color w:val="000000"/>
        </w:rPr>
      </w:pPr>
      <w:r>
        <w:rPr>
          <w:rFonts w:ascii="Georgia" w:hAnsi="Georgia"/>
          <w:b/>
          <w:bCs/>
          <w:color w:val="000000"/>
        </w:rPr>
        <w:t>Living Wage Calculator</w:t>
      </w:r>
    </w:p>
    <w:p w:rsidR="00245681" w:rsidRDefault="00245681" w:rsidP="00245681">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Another related online tool is MIT’s </w:t>
      </w:r>
      <w:hyperlink r:id="rId6" w:tgtFrame="_blank" w:history="1">
        <w:r>
          <w:rPr>
            <w:rStyle w:val="Hyperlink"/>
            <w:rFonts w:ascii="Georgia" w:hAnsi="Georgia"/>
            <w:b/>
            <w:bCs/>
            <w:color w:val="BE6F03"/>
            <w:sz w:val="21"/>
            <w:szCs w:val="21"/>
          </w:rPr>
          <w:t>Living Wage Calculator</w:t>
        </w:r>
      </w:hyperlink>
      <w:r>
        <w:rPr>
          <w:rFonts w:ascii="Georgia" w:hAnsi="Georgia"/>
          <w:color w:val="3D3D3D"/>
          <w:sz w:val="21"/>
          <w:szCs w:val="21"/>
        </w:rPr>
        <w:t>. Select and state, then choose a county or place to find data on living wages, the hourly rate an individual must earn to support a family; monthly expenses</w:t>
      </w:r>
      <w:proofErr w:type="gramStart"/>
      <w:r>
        <w:rPr>
          <w:rFonts w:ascii="Georgia" w:hAnsi="Georgia"/>
          <w:color w:val="3D3D3D"/>
          <w:sz w:val="21"/>
          <w:szCs w:val="21"/>
        </w:rPr>
        <w:t>;</w:t>
      </w:r>
      <w:proofErr w:type="gramEnd"/>
      <w:r>
        <w:rPr>
          <w:rFonts w:ascii="Georgia" w:hAnsi="Georgia"/>
          <w:color w:val="3D3D3D"/>
          <w:sz w:val="21"/>
          <w:szCs w:val="21"/>
        </w:rPr>
        <w:t xml:space="preserve"> and typical hourly wages for various occupations at the location. Wages less than a living wage </w:t>
      </w:r>
      <w:proofErr w:type="gramStart"/>
      <w:r>
        <w:rPr>
          <w:rFonts w:ascii="Georgia" w:hAnsi="Georgia"/>
          <w:color w:val="3D3D3D"/>
          <w:sz w:val="21"/>
          <w:szCs w:val="21"/>
        </w:rPr>
        <w:t>are shown</w:t>
      </w:r>
      <w:proofErr w:type="gramEnd"/>
      <w:r>
        <w:rPr>
          <w:rFonts w:ascii="Georgia" w:hAnsi="Georgia"/>
          <w:color w:val="3D3D3D"/>
          <w:sz w:val="21"/>
          <w:szCs w:val="21"/>
        </w:rPr>
        <w:t xml:space="preserve"> in red.</w:t>
      </w:r>
    </w:p>
    <w:p w:rsidR="00245681" w:rsidRDefault="00245681" w:rsidP="00245681">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 </w:t>
      </w:r>
    </w:p>
    <w:p w:rsidR="00245681" w:rsidRDefault="00245681">
      <w:bookmarkStart w:id="0" w:name="_GoBack"/>
      <w:bookmarkEnd w:id="0"/>
    </w:p>
    <w:sectPr w:rsidR="00245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930D08"/>
    <w:multiLevelType w:val="multilevel"/>
    <w:tmpl w:val="163A2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B12"/>
    <w:rsid w:val="00245681"/>
    <w:rsid w:val="006E3B12"/>
    <w:rsid w:val="00E04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D1399"/>
  <w15:chartTrackingRefBased/>
  <w15:docId w15:val="{76EB8060-21E2-46C0-B847-31697800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E3B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24568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B1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E3B1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3B12"/>
    <w:rPr>
      <w:color w:val="0000FF"/>
      <w:u w:val="single"/>
    </w:rPr>
  </w:style>
  <w:style w:type="character" w:customStyle="1" w:styleId="Heading3Char">
    <w:name w:val="Heading 3 Char"/>
    <w:basedOn w:val="DefaultParagraphFont"/>
    <w:link w:val="Heading3"/>
    <w:uiPriority w:val="9"/>
    <w:semiHidden/>
    <w:rsid w:val="00245681"/>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2456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89838">
      <w:bodyDiv w:val="1"/>
      <w:marLeft w:val="0"/>
      <w:marRight w:val="0"/>
      <w:marTop w:val="0"/>
      <w:marBottom w:val="0"/>
      <w:divBdr>
        <w:top w:val="none" w:sz="0" w:space="0" w:color="auto"/>
        <w:left w:val="none" w:sz="0" w:space="0" w:color="auto"/>
        <w:bottom w:val="none" w:sz="0" w:space="0" w:color="auto"/>
        <w:right w:val="none" w:sz="0" w:space="0" w:color="auto"/>
      </w:divBdr>
      <w:divsChild>
        <w:div w:id="1164665103">
          <w:marLeft w:val="0"/>
          <w:marRight w:val="0"/>
          <w:marTop w:val="0"/>
          <w:marBottom w:val="0"/>
          <w:divBdr>
            <w:top w:val="none" w:sz="0" w:space="0" w:color="auto"/>
            <w:left w:val="none" w:sz="0" w:space="0" w:color="auto"/>
            <w:bottom w:val="none" w:sz="0" w:space="0" w:color="auto"/>
            <w:right w:val="none" w:sz="0" w:space="0" w:color="auto"/>
          </w:divBdr>
        </w:div>
        <w:div w:id="880289606">
          <w:marLeft w:val="0"/>
          <w:marRight w:val="0"/>
          <w:marTop w:val="0"/>
          <w:marBottom w:val="0"/>
          <w:divBdr>
            <w:top w:val="none" w:sz="0" w:space="0" w:color="auto"/>
            <w:left w:val="none" w:sz="0" w:space="0" w:color="auto"/>
            <w:bottom w:val="none" w:sz="0" w:space="0" w:color="auto"/>
            <w:right w:val="none" w:sz="0" w:space="0" w:color="auto"/>
          </w:divBdr>
        </w:div>
        <w:div w:id="889927526">
          <w:marLeft w:val="0"/>
          <w:marRight w:val="0"/>
          <w:marTop w:val="0"/>
          <w:marBottom w:val="0"/>
          <w:divBdr>
            <w:top w:val="none" w:sz="0" w:space="0" w:color="auto"/>
            <w:left w:val="none" w:sz="0" w:space="0" w:color="auto"/>
            <w:bottom w:val="none" w:sz="0" w:space="0" w:color="auto"/>
            <w:right w:val="none" w:sz="0" w:space="0" w:color="auto"/>
          </w:divBdr>
        </w:div>
        <w:div w:id="1750804914">
          <w:marLeft w:val="0"/>
          <w:marRight w:val="0"/>
          <w:marTop w:val="0"/>
          <w:marBottom w:val="0"/>
          <w:divBdr>
            <w:top w:val="none" w:sz="0" w:space="0" w:color="auto"/>
            <w:left w:val="none" w:sz="0" w:space="0" w:color="auto"/>
            <w:bottom w:val="none" w:sz="0" w:space="0" w:color="auto"/>
            <w:right w:val="none" w:sz="0" w:space="0" w:color="auto"/>
          </w:divBdr>
        </w:div>
        <w:div w:id="335041485">
          <w:marLeft w:val="0"/>
          <w:marRight w:val="0"/>
          <w:marTop w:val="0"/>
          <w:marBottom w:val="0"/>
          <w:divBdr>
            <w:top w:val="none" w:sz="0" w:space="0" w:color="auto"/>
            <w:left w:val="none" w:sz="0" w:space="0" w:color="auto"/>
            <w:bottom w:val="none" w:sz="0" w:space="0" w:color="auto"/>
            <w:right w:val="none" w:sz="0" w:space="0" w:color="auto"/>
          </w:divBdr>
        </w:div>
      </w:divsChild>
    </w:div>
    <w:div w:id="2212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vingwage.mit.edu/" TargetMode="External"/><Relationship Id="rId11" Type="http://schemas.openxmlformats.org/officeDocument/2006/relationships/customXml" Target="../customXml/item3.xml"/><Relationship Id="rId5" Type="http://schemas.openxmlformats.org/officeDocument/2006/relationships/hyperlink" Target="http://www.nea.org/home/12724.htm"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85FA7F9-0DCC-4601-996B-E1B43FAB806A}"/>
</file>

<file path=customXml/itemProps2.xml><?xml version="1.0" encoding="utf-8"?>
<ds:datastoreItem xmlns:ds="http://schemas.openxmlformats.org/officeDocument/2006/customXml" ds:itemID="{631A5A54-4870-4094-9CDF-E372B2E69BEF}"/>
</file>

<file path=customXml/itemProps3.xml><?xml version="1.0" encoding="utf-8"?>
<ds:datastoreItem xmlns:ds="http://schemas.openxmlformats.org/officeDocument/2006/customXml" ds:itemID="{6AA2B523-DA84-4B1C-8BBA-1BF2145121DD}"/>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2020-02-10T00:09:00Z</dcterms:created>
  <dcterms:modified xsi:type="dcterms:W3CDTF">2020-02-10T00:10:00Z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